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8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544"/>
        <w:gridCol w:w="84"/>
        <w:gridCol w:w="135"/>
        <w:gridCol w:w="2474"/>
        <w:gridCol w:w="2410"/>
        <w:gridCol w:w="2133"/>
      </w:tblGrid>
      <w:tr w:rsidR="0072322B" w:rsidRPr="00426592" w:rsidTr="00BD0027">
        <w:trPr>
          <w:cantSplit/>
          <w:trHeight w:hRule="exact" w:val="425"/>
        </w:trPr>
        <w:tc>
          <w:tcPr>
            <w:tcW w:w="3544" w:type="dxa"/>
            <w:vMerge w:val="restart"/>
          </w:tcPr>
          <w:p w:rsidR="0072322B" w:rsidRPr="00426592" w:rsidRDefault="00EE1DF6">
            <w:pPr>
              <w:pStyle w:val="CVHeading3"/>
            </w:pPr>
            <w:r w:rsidRPr="0075623A">
              <w:rPr>
                <w:rFonts w:ascii="Bookman Old Style" w:hAnsi="Bookman Old Style"/>
                <w:noProof/>
                <w:sz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161925</wp:posOffset>
                  </wp:positionV>
                  <wp:extent cx="922655" cy="1009650"/>
                  <wp:effectExtent l="0" t="0" r="0" b="0"/>
                  <wp:wrapSquare wrapText="bothSides"/>
                  <wp:docPr id="8" name="Image 1" descr="C:\Users\Salma\Pictures\photo d'ident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lma\Pictures\photo d'ident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322B" w:rsidRPr="00F94CD9" w:rsidRDefault="0072322B">
            <w:pPr>
              <w:pStyle w:val="CVNormal"/>
              <w:rPr>
                <w:sz w:val="16"/>
                <w:szCs w:val="16"/>
              </w:rPr>
            </w:pPr>
          </w:p>
        </w:tc>
        <w:tc>
          <w:tcPr>
            <w:tcW w:w="84" w:type="dxa"/>
          </w:tcPr>
          <w:p w:rsidR="0072322B" w:rsidRPr="00426592" w:rsidRDefault="0072322B">
            <w:pPr>
              <w:pStyle w:val="CVNormal"/>
            </w:pPr>
          </w:p>
        </w:tc>
        <w:tc>
          <w:tcPr>
            <w:tcW w:w="7152" w:type="dxa"/>
            <w:gridSpan w:val="4"/>
            <w:vMerge w:val="restart"/>
          </w:tcPr>
          <w:p w:rsidR="0072322B" w:rsidRPr="00426592" w:rsidRDefault="0072322B">
            <w:pPr>
              <w:pStyle w:val="CVNormal"/>
            </w:pPr>
          </w:p>
        </w:tc>
      </w:tr>
      <w:tr w:rsidR="0072322B" w:rsidRPr="00426592" w:rsidTr="00BD0027">
        <w:trPr>
          <w:cantSplit/>
          <w:trHeight w:hRule="exact" w:val="425"/>
        </w:trPr>
        <w:tc>
          <w:tcPr>
            <w:tcW w:w="3544" w:type="dxa"/>
            <w:vMerge/>
          </w:tcPr>
          <w:p w:rsidR="0072322B" w:rsidRPr="00426592" w:rsidRDefault="0072322B"/>
        </w:tc>
        <w:tc>
          <w:tcPr>
            <w:tcW w:w="84" w:type="dxa"/>
            <w:tcBorders>
              <w:top w:val="single" w:sz="1" w:space="0" w:color="000000"/>
              <w:right w:val="single" w:sz="1" w:space="0" w:color="000000"/>
            </w:tcBorders>
          </w:tcPr>
          <w:p w:rsidR="0072322B" w:rsidRPr="00426592" w:rsidRDefault="0072322B">
            <w:pPr>
              <w:pStyle w:val="CVNormal"/>
            </w:pPr>
          </w:p>
        </w:tc>
        <w:tc>
          <w:tcPr>
            <w:tcW w:w="7152" w:type="dxa"/>
            <w:gridSpan w:val="4"/>
            <w:vMerge/>
          </w:tcPr>
          <w:p w:rsidR="0072322B" w:rsidRPr="00426592" w:rsidRDefault="0072322B"/>
        </w:tc>
      </w:tr>
      <w:tr w:rsidR="0072322B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72322B" w:rsidRPr="00426592" w:rsidRDefault="0072322B" w:rsidP="00296E56">
            <w:pPr>
              <w:pStyle w:val="CVTitle"/>
              <w:rPr>
                <w:sz w:val="40"/>
                <w:szCs w:val="28"/>
              </w:rPr>
            </w:pPr>
          </w:p>
        </w:tc>
        <w:tc>
          <w:tcPr>
            <w:tcW w:w="7152" w:type="dxa"/>
            <w:gridSpan w:val="4"/>
          </w:tcPr>
          <w:p w:rsidR="004E26EC" w:rsidRPr="006554B9" w:rsidRDefault="004E26EC" w:rsidP="00F94CD9">
            <w:pPr>
              <w:pStyle w:val="CVNormal"/>
              <w:jc w:val="center"/>
              <w:rPr>
                <w:b/>
                <w:bCs/>
                <w:sz w:val="40"/>
                <w:szCs w:val="36"/>
                <w:lang w:val="en-US"/>
              </w:rPr>
            </w:pPr>
            <w:r w:rsidRPr="006554B9">
              <w:rPr>
                <w:b/>
                <w:bCs/>
                <w:sz w:val="40"/>
                <w:szCs w:val="36"/>
                <w:lang w:val="en-US"/>
              </w:rPr>
              <w:t>Curriculum vitae</w:t>
            </w:r>
          </w:p>
          <w:p w:rsidR="0072322B" w:rsidRPr="004E26EC" w:rsidRDefault="004E26EC" w:rsidP="00F94CD9">
            <w:pPr>
              <w:pStyle w:val="CVNormal"/>
              <w:jc w:val="center"/>
              <w:rPr>
                <w:b/>
                <w:bCs/>
                <w:sz w:val="36"/>
                <w:szCs w:val="32"/>
              </w:rPr>
            </w:pPr>
            <w:r w:rsidRPr="006554B9">
              <w:rPr>
                <w:b/>
                <w:bCs/>
                <w:sz w:val="32"/>
                <w:szCs w:val="28"/>
                <w:lang w:val="en-US"/>
              </w:rPr>
              <w:t xml:space="preserve">Salma KHALED Ep. </w:t>
            </w:r>
            <w:r>
              <w:rPr>
                <w:b/>
                <w:bCs/>
                <w:sz w:val="32"/>
                <w:szCs w:val="28"/>
              </w:rPr>
              <w:t>SLAMA</w:t>
            </w:r>
          </w:p>
        </w:tc>
      </w:tr>
      <w:tr w:rsidR="0072322B" w:rsidRPr="00426592" w:rsidTr="00EE1DF6">
        <w:trPr>
          <w:cantSplit/>
        </w:trPr>
        <w:tc>
          <w:tcPr>
            <w:tcW w:w="3628" w:type="dxa"/>
            <w:gridSpan w:val="2"/>
            <w:tcBorders>
              <w:bottom w:val="dashSmallGap" w:sz="4" w:space="0" w:color="1F497D" w:themeColor="text2"/>
              <w:right w:val="single" w:sz="1" w:space="0" w:color="000000"/>
            </w:tcBorders>
          </w:tcPr>
          <w:p w:rsidR="0072322B" w:rsidRPr="00426592" w:rsidRDefault="0072322B">
            <w:pPr>
              <w:pStyle w:val="CVSpacer"/>
            </w:pPr>
          </w:p>
        </w:tc>
        <w:tc>
          <w:tcPr>
            <w:tcW w:w="7152" w:type="dxa"/>
            <w:gridSpan w:val="4"/>
            <w:tcBorders>
              <w:bottom w:val="dashSmallGap" w:sz="4" w:space="0" w:color="1F497D" w:themeColor="text2"/>
            </w:tcBorders>
          </w:tcPr>
          <w:p w:rsidR="0072322B" w:rsidRPr="00426592" w:rsidRDefault="0072322B">
            <w:pPr>
              <w:pStyle w:val="CVSpacer"/>
            </w:pPr>
          </w:p>
        </w:tc>
      </w:tr>
      <w:tr w:rsidR="0072322B" w:rsidRPr="00426592" w:rsidTr="00EE1DF6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single" w:sz="2" w:space="0" w:color="000000"/>
            </w:tcBorders>
          </w:tcPr>
          <w:p w:rsidR="004E26EC" w:rsidRPr="004E26EC" w:rsidRDefault="004E26EC" w:rsidP="0010504E">
            <w:pPr>
              <w:pStyle w:val="CVHeading1"/>
              <w:spacing w:before="0"/>
              <w:rPr>
                <w:sz w:val="20"/>
                <w:szCs w:val="16"/>
              </w:rPr>
            </w:pPr>
          </w:p>
          <w:p w:rsidR="0072322B" w:rsidRPr="00426592" w:rsidRDefault="004E26EC" w:rsidP="00436904">
            <w:pPr>
              <w:pStyle w:val="CVHeading1"/>
              <w:spacing w:before="0"/>
            </w:pPr>
            <w:r>
              <w:rPr>
                <w:sz w:val="28"/>
                <w:szCs w:val="22"/>
              </w:rPr>
              <w:t xml:space="preserve">Poste </w:t>
            </w:r>
            <w:r w:rsidR="00436904">
              <w:rPr>
                <w:sz w:val="28"/>
                <w:szCs w:val="22"/>
              </w:rPr>
              <w:t>actuel</w:t>
            </w:r>
            <w:r>
              <w:rPr>
                <w:sz w:val="28"/>
                <w:szCs w:val="22"/>
              </w:rPr>
              <w:t xml:space="preserve"> 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  <w:bottom w:val="dashSmallGap" w:sz="4" w:space="0" w:color="1F497D" w:themeColor="text2"/>
            </w:tcBorders>
          </w:tcPr>
          <w:p w:rsidR="004E26EC" w:rsidRPr="004E26EC" w:rsidRDefault="004E26EC" w:rsidP="00F54266">
            <w:pPr>
              <w:pStyle w:val="CVMajor-FirstLine"/>
              <w:spacing w:befor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E26EC" w:rsidRPr="004E26EC" w:rsidRDefault="00436904" w:rsidP="00D064D3">
            <w:pPr>
              <w:pStyle w:val="ECVGenderRow"/>
              <w:spacing w:line="276" w:lineRule="auto"/>
              <w:ind w:left="20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Maître de </w:t>
            </w:r>
            <w:proofErr w:type="gramStart"/>
            <w:r>
              <w:rPr>
                <w:rFonts w:ascii="Arial Narrow" w:hAnsi="Arial Narrow"/>
                <w:color w:val="auto"/>
                <w:sz w:val="22"/>
                <w:szCs w:val="22"/>
              </w:rPr>
              <w:t>conférence</w:t>
            </w:r>
            <w:proofErr w:type="gramEnd"/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en droit privé</w:t>
            </w:r>
            <w:r w:rsidR="004E26EC" w:rsidRPr="004E26EC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  <w:p w:rsidR="0072322B" w:rsidRPr="00426592" w:rsidRDefault="0072322B" w:rsidP="004E26EC">
            <w:pPr>
              <w:pStyle w:val="CVMajor-FirstLine"/>
              <w:spacing w:before="0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72322B" w:rsidRPr="00426592" w:rsidTr="00EE1DF6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right w:val="single" w:sz="2" w:space="0" w:color="000000"/>
            </w:tcBorders>
          </w:tcPr>
          <w:p w:rsidR="0072322B" w:rsidRPr="00426592" w:rsidRDefault="0072322B">
            <w:pPr>
              <w:pStyle w:val="CVHeading1"/>
              <w:spacing w:before="0"/>
            </w:pPr>
            <w:r w:rsidRPr="00426592">
              <w:rPr>
                <w:sz w:val="28"/>
                <w:szCs w:val="22"/>
              </w:rPr>
              <w:t>Informations personnelles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</w:tcBorders>
          </w:tcPr>
          <w:p w:rsidR="0072322B" w:rsidRPr="00426592" w:rsidRDefault="0072322B">
            <w:pPr>
              <w:pStyle w:val="CVNormal"/>
            </w:pPr>
          </w:p>
        </w:tc>
      </w:tr>
      <w:tr w:rsidR="004E26EC" w:rsidRPr="00426592" w:rsidTr="00274F2E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4E26EC" w:rsidRPr="004E26EC" w:rsidRDefault="004E26EC">
            <w:pPr>
              <w:pStyle w:val="CV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7152" w:type="dxa"/>
            <w:gridSpan w:val="4"/>
          </w:tcPr>
          <w:p w:rsidR="004E26EC" w:rsidRPr="004E26EC" w:rsidRDefault="005645C8" w:rsidP="004E26EC">
            <w:pPr>
              <w:pStyle w:val="CVNormal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cstheme="majorBidi"/>
                <w:sz w:val="22"/>
                <w:szCs w:val="22"/>
              </w:rPr>
              <w:t>31, Av</w:t>
            </w:r>
            <w:r w:rsidR="004E26EC">
              <w:rPr>
                <w:rFonts w:cstheme="majorBidi"/>
                <w:sz w:val="22"/>
                <w:szCs w:val="22"/>
              </w:rPr>
              <w:t>.</w:t>
            </w:r>
            <w:r w:rsidR="004E26EC" w:rsidRPr="004E26EC">
              <w:rPr>
                <w:rFonts w:cstheme="majorBidi"/>
                <w:sz w:val="22"/>
                <w:szCs w:val="22"/>
              </w:rPr>
              <w:t xml:space="preserve"> Alain Savary </w:t>
            </w:r>
            <w:proofErr w:type="spellStart"/>
            <w:r w:rsidR="004E26EC" w:rsidRPr="004E26EC">
              <w:rPr>
                <w:rFonts w:cstheme="majorBidi"/>
                <w:sz w:val="22"/>
                <w:szCs w:val="22"/>
              </w:rPr>
              <w:t>Savary</w:t>
            </w:r>
            <w:proofErr w:type="spellEnd"/>
            <w:r w:rsidR="004E26EC" w:rsidRPr="004E26EC">
              <w:rPr>
                <w:rFonts w:cstheme="majorBidi"/>
                <w:sz w:val="22"/>
                <w:szCs w:val="22"/>
              </w:rPr>
              <w:t xml:space="preserve"> Centre </w:t>
            </w:r>
            <w:proofErr w:type="spellStart"/>
            <w:r w:rsidR="004E26EC" w:rsidRPr="004E26EC">
              <w:rPr>
                <w:rFonts w:cstheme="majorBidi"/>
                <w:sz w:val="22"/>
                <w:szCs w:val="22"/>
              </w:rPr>
              <w:t>Appt</w:t>
            </w:r>
            <w:proofErr w:type="spellEnd"/>
            <w:r w:rsidR="004E26EC" w:rsidRPr="004E26EC">
              <w:rPr>
                <w:rFonts w:cstheme="majorBidi"/>
                <w:sz w:val="22"/>
                <w:szCs w:val="22"/>
              </w:rPr>
              <w:t xml:space="preserve"> </w:t>
            </w:r>
            <w:r w:rsidR="00581128">
              <w:rPr>
                <w:rFonts w:cstheme="majorBidi"/>
                <w:sz w:val="22"/>
                <w:szCs w:val="22"/>
              </w:rPr>
              <w:t xml:space="preserve">4-3 - </w:t>
            </w:r>
            <w:proofErr w:type="spellStart"/>
            <w:r w:rsidR="00581128">
              <w:rPr>
                <w:rFonts w:cstheme="majorBidi"/>
                <w:sz w:val="22"/>
                <w:szCs w:val="22"/>
              </w:rPr>
              <w:t>Bélevedère</w:t>
            </w:r>
            <w:proofErr w:type="spellEnd"/>
            <w:r w:rsidR="00581128">
              <w:rPr>
                <w:rFonts w:cstheme="majorBidi"/>
                <w:sz w:val="22"/>
                <w:szCs w:val="22"/>
              </w:rPr>
              <w:t xml:space="preserve"> 1002, </w:t>
            </w:r>
            <w:r w:rsidR="004E26EC" w:rsidRPr="004E26EC">
              <w:rPr>
                <w:rFonts w:cstheme="majorBidi"/>
                <w:sz w:val="22"/>
                <w:szCs w:val="22"/>
              </w:rPr>
              <w:t>Tunis- TUNISIA</w:t>
            </w:r>
          </w:p>
        </w:tc>
      </w:tr>
      <w:tr w:rsidR="002202D0" w:rsidRPr="00426592" w:rsidTr="00145656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2202D0" w:rsidRPr="004E26EC" w:rsidRDefault="002202D0">
            <w:pPr>
              <w:pStyle w:val="CVHeading3"/>
              <w:rPr>
                <w:sz w:val="22"/>
                <w:szCs w:val="22"/>
              </w:rPr>
            </w:pPr>
            <w:r w:rsidRPr="004E26EC">
              <w:rPr>
                <w:sz w:val="22"/>
                <w:szCs w:val="22"/>
              </w:rPr>
              <w:t>Téléphone</w:t>
            </w:r>
          </w:p>
        </w:tc>
        <w:tc>
          <w:tcPr>
            <w:tcW w:w="7152" w:type="dxa"/>
            <w:gridSpan w:val="4"/>
          </w:tcPr>
          <w:p w:rsidR="002202D0" w:rsidRPr="004E26EC" w:rsidRDefault="002202D0" w:rsidP="00500355">
            <w:pPr>
              <w:pStyle w:val="CVNormal"/>
              <w:rPr>
                <w:b/>
                <w:bCs/>
                <w:color w:val="FF0000"/>
                <w:sz w:val="22"/>
                <w:szCs w:val="22"/>
              </w:rPr>
            </w:pPr>
            <w:r w:rsidRPr="002202D0">
              <w:rPr>
                <w:sz w:val="22"/>
                <w:szCs w:val="22"/>
              </w:rPr>
              <w:t>+216 71 845</w:t>
            </w:r>
            <w:r>
              <w:rPr>
                <w:sz w:val="22"/>
                <w:szCs w:val="22"/>
              </w:rPr>
              <w:t> </w:t>
            </w:r>
            <w:r w:rsidRPr="002202D0">
              <w:rPr>
                <w:sz w:val="22"/>
                <w:szCs w:val="22"/>
              </w:rPr>
              <w:t>426</w:t>
            </w:r>
            <w:r>
              <w:rPr>
                <w:sz w:val="22"/>
                <w:szCs w:val="22"/>
              </w:rPr>
              <w:t xml:space="preserve">  // </w:t>
            </w:r>
            <w:r w:rsidR="00D84AD4" w:rsidRPr="00D84AD4">
              <w:rPr>
                <w:sz w:val="22"/>
                <w:szCs w:val="22"/>
              </w:rPr>
              <w:t>+216 98 328 527</w:t>
            </w:r>
            <w:r w:rsidR="00D84AD4" w:rsidRPr="0075623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5623A">
              <w:rPr>
                <w:rStyle w:val="ECVContactDetails"/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</w:tr>
      <w:tr w:rsidR="0072322B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72322B" w:rsidRPr="004E26EC" w:rsidRDefault="0072322B">
            <w:pPr>
              <w:pStyle w:val="CVHeading3"/>
              <w:rPr>
                <w:sz w:val="22"/>
                <w:szCs w:val="22"/>
              </w:rPr>
            </w:pPr>
            <w:r w:rsidRPr="004E26EC">
              <w:rPr>
                <w:sz w:val="22"/>
                <w:szCs w:val="22"/>
              </w:rPr>
              <w:t>Courrier électronique</w:t>
            </w:r>
          </w:p>
        </w:tc>
        <w:tc>
          <w:tcPr>
            <w:tcW w:w="7152" w:type="dxa"/>
            <w:gridSpan w:val="4"/>
          </w:tcPr>
          <w:p w:rsidR="0072322B" w:rsidRPr="00D84AD4" w:rsidRDefault="00D84AD4" w:rsidP="00F54266">
            <w:pPr>
              <w:pStyle w:val="CVNormal"/>
              <w:rPr>
                <w:rFonts w:cstheme="majorBidi"/>
                <w:color w:val="1F497D" w:themeColor="text2"/>
                <w:sz w:val="22"/>
                <w:szCs w:val="22"/>
                <w:u w:val="single"/>
              </w:rPr>
            </w:pPr>
            <w:r w:rsidRPr="00D84AD4">
              <w:rPr>
                <w:rFonts w:cstheme="majorBidi"/>
                <w:color w:val="1F497D" w:themeColor="text2"/>
                <w:sz w:val="22"/>
                <w:szCs w:val="22"/>
                <w:u w:val="single"/>
              </w:rPr>
              <w:t>salmaslama@gmail.com</w:t>
            </w:r>
          </w:p>
        </w:tc>
      </w:tr>
      <w:tr w:rsidR="00D84AD4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84AD4" w:rsidRPr="004E26EC" w:rsidRDefault="00D84AD4">
            <w:pPr>
              <w:pStyle w:val="CVHeading3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Blog</w:t>
            </w:r>
          </w:p>
        </w:tc>
        <w:tc>
          <w:tcPr>
            <w:tcW w:w="7152" w:type="dxa"/>
            <w:gridSpan w:val="4"/>
          </w:tcPr>
          <w:p w:rsidR="00D84AD4" w:rsidRPr="00D84AD4" w:rsidRDefault="00A44571" w:rsidP="00D84AD4">
            <w:pPr>
              <w:pStyle w:val="CVNormal"/>
              <w:rPr>
                <w:rFonts w:cstheme="majorBidi"/>
                <w:color w:val="1F497D" w:themeColor="text2"/>
                <w:sz w:val="22"/>
                <w:szCs w:val="22"/>
              </w:rPr>
            </w:pPr>
            <w:hyperlink r:id="rId9" w:anchor="allposts" w:history="1">
              <w:r w:rsidR="00D84AD4" w:rsidRPr="00D84AD4">
                <w:rPr>
                  <w:rFonts w:cstheme="majorBidi"/>
                  <w:color w:val="1F497D" w:themeColor="text2"/>
                  <w:sz w:val="22"/>
                  <w:szCs w:val="22"/>
                </w:rPr>
                <w:t>https://www.blogger.com/blogger.g?blogID=7807792337382030780#allposts</w:t>
              </w:r>
            </w:hyperlink>
          </w:p>
        </w:tc>
      </w:tr>
      <w:tr w:rsidR="0072322B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72322B" w:rsidRPr="004E26EC" w:rsidRDefault="0072322B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4E26EC">
              <w:rPr>
                <w:sz w:val="22"/>
                <w:szCs w:val="22"/>
              </w:rPr>
              <w:t>Nationalité</w:t>
            </w:r>
          </w:p>
        </w:tc>
        <w:tc>
          <w:tcPr>
            <w:tcW w:w="7152" w:type="dxa"/>
            <w:gridSpan w:val="4"/>
          </w:tcPr>
          <w:p w:rsidR="0072322B" w:rsidRPr="004E26EC" w:rsidRDefault="0072322B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4E26EC">
              <w:rPr>
                <w:sz w:val="22"/>
                <w:szCs w:val="22"/>
              </w:rPr>
              <w:t xml:space="preserve">Tunisienne </w:t>
            </w:r>
          </w:p>
        </w:tc>
      </w:tr>
      <w:tr w:rsidR="0072322B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72322B" w:rsidRPr="004E26EC" w:rsidRDefault="0072322B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4E26EC">
              <w:rPr>
                <w:sz w:val="22"/>
                <w:szCs w:val="22"/>
              </w:rPr>
              <w:t>Date de naissance</w:t>
            </w:r>
          </w:p>
        </w:tc>
        <w:tc>
          <w:tcPr>
            <w:tcW w:w="7152" w:type="dxa"/>
            <w:gridSpan w:val="4"/>
          </w:tcPr>
          <w:p w:rsidR="0072322B" w:rsidRPr="004E26EC" w:rsidRDefault="00D84AD4">
            <w:pPr>
              <w:pStyle w:val="CVNormal-FirstLin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Novembre</w:t>
            </w:r>
            <w:r w:rsidR="0072322B" w:rsidRPr="004E26EC">
              <w:rPr>
                <w:sz w:val="22"/>
                <w:szCs w:val="22"/>
              </w:rPr>
              <w:t xml:space="preserve"> 19</w:t>
            </w:r>
            <w:r>
              <w:rPr>
                <w:sz w:val="22"/>
                <w:szCs w:val="22"/>
              </w:rPr>
              <w:t>72</w:t>
            </w:r>
          </w:p>
        </w:tc>
      </w:tr>
      <w:tr w:rsidR="0072322B" w:rsidRPr="00426592" w:rsidTr="000F457D">
        <w:trPr>
          <w:cantSplit/>
        </w:trPr>
        <w:tc>
          <w:tcPr>
            <w:tcW w:w="3628" w:type="dxa"/>
            <w:gridSpan w:val="2"/>
            <w:tcBorders>
              <w:bottom w:val="dashSmallGap" w:sz="4" w:space="0" w:color="1F497D" w:themeColor="text2"/>
              <w:right w:val="single" w:sz="1" w:space="0" w:color="000000"/>
            </w:tcBorders>
          </w:tcPr>
          <w:p w:rsidR="0072322B" w:rsidRPr="00426592" w:rsidRDefault="0072322B">
            <w:pPr>
              <w:pStyle w:val="CVSpacer"/>
            </w:pPr>
          </w:p>
        </w:tc>
        <w:tc>
          <w:tcPr>
            <w:tcW w:w="7152" w:type="dxa"/>
            <w:gridSpan w:val="4"/>
            <w:tcBorders>
              <w:bottom w:val="dashSmallGap" w:sz="4" w:space="0" w:color="1F497D" w:themeColor="text2"/>
            </w:tcBorders>
          </w:tcPr>
          <w:p w:rsidR="0072322B" w:rsidRPr="000F457D" w:rsidRDefault="0072322B">
            <w:pPr>
              <w:pStyle w:val="CVSpacer"/>
              <w:rPr>
                <w:sz w:val="6"/>
                <w:szCs w:val="22"/>
              </w:rPr>
            </w:pPr>
          </w:p>
        </w:tc>
      </w:tr>
      <w:tr w:rsidR="00D87C3E" w:rsidRPr="00426592" w:rsidTr="000F457D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right w:val="single" w:sz="2" w:space="0" w:color="000000"/>
            </w:tcBorders>
          </w:tcPr>
          <w:p w:rsidR="00A23C86" w:rsidRPr="00A23C86" w:rsidRDefault="00A23C86" w:rsidP="00C55C85">
            <w:pPr>
              <w:pStyle w:val="CVHeading1"/>
              <w:spacing w:before="0"/>
              <w:ind w:left="0"/>
              <w:rPr>
                <w:sz w:val="10"/>
                <w:szCs w:val="6"/>
              </w:rPr>
            </w:pPr>
          </w:p>
          <w:p w:rsidR="00D87C3E" w:rsidRPr="00426592" w:rsidRDefault="00D87C3E" w:rsidP="00C55C85">
            <w:pPr>
              <w:pStyle w:val="CVHeading1"/>
              <w:spacing w:before="0"/>
              <w:ind w:left="0"/>
            </w:pPr>
            <w:r>
              <w:rPr>
                <w:sz w:val="28"/>
                <w:szCs w:val="22"/>
              </w:rPr>
              <w:t>Diplôme</w:t>
            </w:r>
            <w:r w:rsidRPr="00426592">
              <w:rPr>
                <w:sz w:val="28"/>
                <w:szCs w:val="22"/>
              </w:rPr>
              <w:t xml:space="preserve"> 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</w:tcBorders>
          </w:tcPr>
          <w:p w:rsidR="00D87C3E" w:rsidRPr="00426592" w:rsidRDefault="00D87C3E" w:rsidP="00C55C85">
            <w:pPr>
              <w:pStyle w:val="CVSpacer"/>
              <w:ind w:left="0"/>
            </w:pPr>
          </w:p>
          <w:p w:rsidR="00D87C3E" w:rsidRPr="00426592" w:rsidRDefault="00D87C3E" w:rsidP="00C55C85">
            <w:pPr>
              <w:pStyle w:val="CVSpacer"/>
              <w:ind w:left="0"/>
            </w:pPr>
          </w:p>
          <w:p w:rsidR="00D87C3E" w:rsidRPr="00426592" w:rsidRDefault="00D87C3E" w:rsidP="00C55C85">
            <w:pPr>
              <w:pStyle w:val="CVSpacer"/>
              <w:ind w:left="0"/>
            </w:pPr>
          </w:p>
          <w:p w:rsidR="00D87C3E" w:rsidRPr="00426592" w:rsidRDefault="00D87C3E" w:rsidP="00C55C85">
            <w:pPr>
              <w:pStyle w:val="CVSpacer"/>
              <w:ind w:left="0"/>
            </w:pPr>
          </w:p>
          <w:p w:rsidR="00D87C3E" w:rsidRPr="00426592" w:rsidRDefault="00D87C3E" w:rsidP="00C55C85">
            <w:pPr>
              <w:pStyle w:val="CVSpacer"/>
              <w:ind w:left="0"/>
            </w:pPr>
          </w:p>
          <w:p w:rsidR="00D87C3E" w:rsidRPr="00426592" w:rsidRDefault="00D87C3E" w:rsidP="00C55C85">
            <w:pPr>
              <w:pStyle w:val="CVSpacer"/>
              <w:ind w:left="0"/>
            </w:pPr>
          </w:p>
        </w:tc>
      </w:tr>
      <w:tr w:rsidR="00D87C3E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87C3E" w:rsidRPr="00C3699C" w:rsidRDefault="00D87C3E" w:rsidP="00C3699C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</w:tcPr>
          <w:p w:rsidR="00D87C3E" w:rsidRPr="00A23C86" w:rsidRDefault="00C3699C" w:rsidP="00C3699C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2015</w:t>
            </w:r>
          </w:p>
        </w:tc>
      </w:tr>
      <w:tr w:rsidR="00D87C3E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87C3E" w:rsidRPr="00C3699C" w:rsidRDefault="00D87C3E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 xml:space="preserve">Diplôme </w:t>
            </w:r>
          </w:p>
        </w:tc>
        <w:tc>
          <w:tcPr>
            <w:tcW w:w="7152" w:type="dxa"/>
            <w:gridSpan w:val="4"/>
          </w:tcPr>
          <w:p w:rsidR="00D87C3E" w:rsidRPr="00C3699C" w:rsidRDefault="00C3699C" w:rsidP="00C3699C">
            <w:pPr>
              <w:pStyle w:val="CVNormal"/>
              <w:rPr>
                <w:color w:val="FF0000"/>
                <w:sz w:val="22"/>
                <w:szCs w:val="22"/>
              </w:rPr>
            </w:pPr>
            <w:r w:rsidRPr="00C3699C">
              <w:rPr>
                <w:b/>
                <w:sz w:val="22"/>
                <w:szCs w:val="22"/>
              </w:rPr>
              <w:t>Agrégation en Droit Privé</w:t>
            </w:r>
          </w:p>
        </w:tc>
      </w:tr>
      <w:tr w:rsidR="00D87C3E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87C3E" w:rsidRPr="00C3699C" w:rsidRDefault="00D87C3E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Etablissement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spacing w:line="276" w:lineRule="auto"/>
              <w:ind w:left="113"/>
              <w:jc w:val="both"/>
              <w:rPr>
                <w:bCs/>
                <w:color w:val="000000"/>
                <w:sz w:val="22"/>
                <w:szCs w:val="22"/>
              </w:rPr>
            </w:pPr>
            <w:r w:rsidRPr="00C3699C">
              <w:rPr>
                <w:bCs/>
                <w:sz w:val="22"/>
                <w:szCs w:val="22"/>
              </w:rPr>
              <w:t>Faculté de Droit et des Sciences Politiques de Tunis</w:t>
            </w:r>
          </w:p>
          <w:p w:rsidR="00D87C3E" w:rsidRPr="00C3699C" w:rsidRDefault="00D87C3E" w:rsidP="00C3699C">
            <w:pPr>
              <w:pStyle w:val="CVNormal"/>
              <w:rPr>
                <w:sz w:val="22"/>
                <w:szCs w:val="22"/>
              </w:rPr>
            </w:pP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</w:tcPr>
          <w:p w:rsidR="00C3699C" w:rsidRPr="00A23C86" w:rsidRDefault="00C3699C" w:rsidP="00C3699C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2009</w:t>
            </w:r>
          </w:p>
        </w:tc>
      </w:tr>
      <w:tr w:rsidR="00C3699C" w:rsidRPr="00936CB0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 xml:space="preserve">Diplôme - Niveau 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pStyle w:val="CVNormal"/>
              <w:rPr>
                <w:color w:val="FF0000"/>
                <w:sz w:val="22"/>
                <w:szCs w:val="22"/>
              </w:rPr>
            </w:pPr>
            <w:r w:rsidRPr="00C3699C">
              <w:rPr>
                <w:b/>
                <w:color w:val="000000"/>
                <w:sz w:val="22"/>
                <w:szCs w:val="22"/>
              </w:rPr>
              <w:t>Habilitation à Diriger des Recherches</w:t>
            </w: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Etablissement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spacing w:line="276" w:lineRule="auto"/>
              <w:ind w:left="113"/>
              <w:jc w:val="both"/>
              <w:rPr>
                <w:bCs/>
                <w:color w:val="000000"/>
                <w:sz w:val="22"/>
                <w:szCs w:val="22"/>
              </w:rPr>
            </w:pPr>
            <w:r w:rsidRPr="00C3699C">
              <w:rPr>
                <w:bCs/>
                <w:sz w:val="22"/>
                <w:szCs w:val="22"/>
              </w:rPr>
              <w:t>Faculté de Droit et des Sciences Politiques de Tunis</w:t>
            </w:r>
          </w:p>
          <w:p w:rsidR="00C3699C" w:rsidRPr="00C3699C" w:rsidRDefault="00C3699C" w:rsidP="00C3699C">
            <w:pPr>
              <w:pStyle w:val="CVNormal"/>
              <w:rPr>
                <w:sz w:val="22"/>
                <w:szCs w:val="22"/>
              </w:rPr>
            </w:pP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</w:tcPr>
          <w:p w:rsidR="00C3699C" w:rsidRPr="00A23C86" w:rsidRDefault="00C3699C" w:rsidP="00C3699C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2005</w:t>
            </w:r>
          </w:p>
        </w:tc>
      </w:tr>
      <w:tr w:rsidR="00C3699C" w:rsidRPr="00936CB0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 xml:space="preserve">Diplôme 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pStyle w:val="CVNormal"/>
              <w:rPr>
                <w:color w:val="FF0000"/>
                <w:sz w:val="22"/>
                <w:szCs w:val="22"/>
              </w:rPr>
            </w:pPr>
            <w:r w:rsidRPr="00C3699C">
              <w:rPr>
                <w:b/>
                <w:sz w:val="22"/>
                <w:szCs w:val="22"/>
              </w:rPr>
              <w:t>Doctorat</w:t>
            </w:r>
            <w:r w:rsidR="00EE1DF6">
              <w:rPr>
                <w:b/>
                <w:sz w:val="22"/>
                <w:szCs w:val="22"/>
              </w:rPr>
              <w:t xml:space="preserve">  en  </w:t>
            </w:r>
            <w:r w:rsidR="00EE1DF6" w:rsidRPr="00EE1DF6">
              <w:rPr>
                <w:b/>
                <w:sz w:val="22"/>
                <w:szCs w:val="22"/>
              </w:rPr>
              <w:t>Droit privé</w:t>
            </w: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Etablissement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spacing w:line="276" w:lineRule="auto"/>
              <w:ind w:left="113"/>
              <w:jc w:val="both"/>
              <w:rPr>
                <w:bCs/>
                <w:color w:val="000000"/>
                <w:sz w:val="22"/>
                <w:szCs w:val="22"/>
              </w:rPr>
            </w:pPr>
            <w:r w:rsidRPr="00C3699C">
              <w:rPr>
                <w:bCs/>
                <w:sz w:val="22"/>
                <w:szCs w:val="22"/>
              </w:rPr>
              <w:t>Faculté de Droit et des Sciences Politiques de Tunis</w:t>
            </w:r>
          </w:p>
          <w:p w:rsidR="00C3699C" w:rsidRPr="00C3699C" w:rsidRDefault="00C3699C" w:rsidP="00C3699C">
            <w:pPr>
              <w:pStyle w:val="CVNormal"/>
              <w:rPr>
                <w:sz w:val="22"/>
                <w:szCs w:val="22"/>
              </w:rPr>
            </w:pP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</w:tcPr>
          <w:p w:rsidR="00C3699C" w:rsidRPr="00A23C86" w:rsidRDefault="00C3699C" w:rsidP="00C3699C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1997</w:t>
            </w:r>
          </w:p>
        </w:tc>
      </w:tr>
      <w:tr w:rsidR="00C3699C" w:rsidRPr="00936CB0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 xml:space="preserve">Diplôme 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spacing w:line="276" w:lineRule="auto"/>
              <w:ind w:left="113"/>
              <w:jc w:val="both"/>
              <w:rPr>
                <w:bCs/>
                <w:sz w:val="22"/>
                <w:szCs w:val="22"/>
              </w:rPr>
            </w:pPr>
            <w:r w:rsidRPr="00EE1DF6">
              <w:rPr>
                <w:b/>
                <w:sz w:val="22"/>
                <w:szCs w:val="22"/>
              </w:rPr>
              <w:t>Inscription à l’Ordre National des Avocats Tunis-Tunisie</w:t>
            </w:r>
            <w:r w:rsidRPr="00C3699C">
              <w:rPr>
                <w:bCs/>
                <w:sz w:val="22"/>
                <w:szCs w:val="22"/>
              </w:rPr>
              <w:t>.</w:t>
            </w: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Etablissement</w:t>
            </w: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pStyle w:val="CVNormal"/>
              <w:rPr>
                <w:sz w:val="22"/>
                <w:szCs w:val="22"/>
              </w:rPr>
            </w:pPr>
            <w:r w:rsidRPr="00C3699C">
              <w:rPr>
                <w:bCs/>
                <w:sz w:val="22"/>
                <w:szCs w:val="22"/>
              </w:rPr>
              <w:t>Ordre National des Avocats Tunis</w:t>
            </w:r>
            <w:r w:rsidRPr="00C3699C">
              <w:rPr>
                <w:sz w:val="22"/>
                <w:szCs w:val="22"/>
              </w:rPr>
              <w:t xml:space="preserve"> </w:t>
            </w: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152" w:type="dxa"/>
            <w:gridSpan w:val="4"/>
          </w:tcPr>
          <w:p w:rsidR="00C3699C" w:rsidRPr="00C3699C" w:rsidRDefault="00C3699C" w:rsidP="00C3699C">
            <w:pPr>
              <w:pStyle w:val="CVNormal"/>
              <w:rPr>
                <w:b/>
                <w:bCs/>
                <w:sz w:val="22"/>
                <w:szCs w:val="22"/>
              </w:rPr>
            </w:pP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</w:tcPr>
          <w:p w:rsidR="00C3699C" w:rsidRPr="00A23C86" w:rsidRDefault="00A23C86" w:rsidP="00C3699C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1996</w:t>
            </w:r>
          </w:p>
        </w:tc>
      </w:tr>
      <w:tr w:rsidR="00C3699C" w:rsidRPr="00936CB0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 xml:space="preserve">Diplôme </w:t>
            </w:r>
          </w:p>
        </w:tc>
        <w:tc>
          <w:tcPr>
            <w:tcW w:w="7152" w:type="dxa"/>
            <w:gridSpan w:val="4"/>
          </w:tcPr>
          <w:p w:rsidR="00C3699C" w:rsidRPr="00A23C86" w:rsidRDefault="00A23C86" w:rsidP="00C3699C">
            <w:pPr>
              <w:pStyle w:val="CVNormal"/>
              <w:rPr>
                <w:color w:val="FF0000"/>
                <w:sz w:val="22"/>
                <w:szCs w:val="22"/>
              </w:rPr>
            </w:pPr>
            <w:r w:rsidRPr="00A23C86">
              <w:rPr>
                <w:b/>
                <w:sz w:val="22"/>
                <w:szCs w:val="22"/>
              </w:rPr>
              <w:t>DEA</w:t>
            </w: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C3699C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C3699C">
              <w:rPr>
                <w:sz w:val="22"/>
                <w:szCs w:val="22"/>
              </w:rPr>
              <w:t>Etablissement</w:t>
            </w:r>
          </w:p>
        </w:tc>
        <w:tc>
          <w:tcPr>
            <w:tcW w:w="7152" w:type="dxa"/>
            <w:gridSpan w:val="4"/>
          </w:tcPr>
          <w:p w:rsidR="00A23C86" w:rsidRPr="00A23C86" w:rsidRDefault="00A23C86" w:rsidP="00A23C86">
            <w:pPr>
              <w:pStyle w:val="CVNormal"/>
              <w:rPr>
                <w:bCs/>
                <w:sz w:val="22"/>
                <w:szCs w:val="22"/>
              </w:rPr>
            </w:pPr>
            <w:r w:rsidRPr="00A23C86">
              <w:rPr>
                <w:bCs/>
                <w:sz w:val="22"/>
                <w:szCs w:val="22"/>
              </w:rPr>
              <w:t>Faculté de Droit et des Sciences Politiques de Tunis</w:t>
            </w:r>
          </w:p>
          <w:p w:rsidR="00C3699C" w:rsidRPr="00C3699C" w:rsidRDefault="00C3699C" w:rsidP="00C3699C">
            <w:pPr>
              <w:pStyle w:val="CVNormal"/>
              <w:rPr>
                <w:sz w:val="22"/>
                <w:szCs w:val="22"/>
              </w:rPr>
            </w:pPr>
          </w:p>
          <w:p w:rsidR="00C3699C" w:rsidRPr="00C3699C" w:rsidRDefault="00C3699C" w:rsidP="00C3699C">
            <w:pPr>
              <w:pStyle w:val="CVNormal"/>
              <w:rPr>
                <w:sz w:val="22"/>
                <w:szCs w:val="22"/>
              </w:rPr>
            </w:pPr>
          </w:p>
        </w:tc>
      </w:tr>
      <w:tr w:rsidR="00C3699C" w:rsidRPr="00426592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A23C86" w:rsidRDefault="00C3699C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</w:tcPr>
          <w:p w:rsidR="00C3699C" w:rsidRPr="00A23C86" w:rsidRDefault="00A23C86" w:rsidP="00C55C85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1</w:t>
            </w:r>
            <w:r w:rsidR="003F4CB3">
              <w:rPr>
                <w:sz w:val="22"/>
                <w:szCs w:val="22"/>
              </w:rPr>
              <w:t>989</w:t>
            </w:r>
          </w:p>
        </w:tc>
      </w:tr>
      <w:tr w:rsidR="00C3699C" w:rsidRPr="00936CB0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A23C86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 xml:space="preserve">Diplôme </w:t>
            </w:r>
          </w:p>
        </w:tc>
        <w:tc>
          <w:tcPr>
            <w:tcW w:w="7152" w:type="dxa"/>
            <w:gridSpan w:val="4"/>
          </w:tcPr>
          <w:p w:rsidR="00C3699C" w:rsidRPr="00A23C86" w:rsidRDefault="00A23C86" w:rsidP="00C55C85">
            <w:pPr>
              <w:pStyle w:val="CVNormal"/>
              <w:rPr>
                <w:color w:val="FF0000"/>
                <w:sz w:val="22"/>
                <w:szCs w:val="22"/>
              </w:rPr>
            </w:pPr>
            <w:r w:rsidRPr="00A23C86">
              <w:rPr>
                <w:b/>
                <w:iCs/>
                <w:sz w:val="22"/>
                <w:szCs w:val="22"/>
              </w:rPr>
              <w:t>Maîtrise</w:t>
            </w:r>
            <w:r w:rsidR="00EE1DF6">
              <w:rPr>
                <w:b/>
                <w:iCs/>
                <w:sz w:val="22"/>
                <w:szCs w:val="22"/>
              </w:rPr>
              <w:t xml:space="preserve"> </w:t>
            </w:r>
            <w:r w:rsidR="00EE1DF6" w:rsidRPr="00EE1DF6">
              <w:rPr>
                <w:b/>
                <w:sz w:val="22"/>
                <w:szCs w:val="22"/>
              </w:rPr>
              <w:t>en Droit Judiciaire privé</w:t>
            </w:r>
            <w:r w:rsidR="00EE1DF6" w:rsidRPr="0075623A"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C3699C" w:rsidRPr="00426592" w:rsidTr="00872DD0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C3699C" w:rsidRPr="00A23C86" w:rsidRDefault="00C3699C" w:rsidP="00C55C85">
            <w:pPr>
              <w:pStyle w:val="CVHeading3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Etablissement</w:t>
            </w:r>
          </w:p>
        </w:tc>
        <w:tc>
          <w:tcPr>
            <w:tcW w:w="7152" w:type="dxa"/>
            <w:gridSpan w:val="4"/>
          </w:tcPr>
          <w:p w:rsidR="00C3699C" w:rsidRPr="00EE1DF6" w:rsidRDefault="00EE1DF6" w:rsidP="00C55C85">
            <w:pPr>
              <w:pStyle w:val="CVNormal"/>
              <w:rPr>
                <w:bCs/>
                <w:sz w:val="22"/>
                <w:szCs w:val="22"/>
              </w:rPr>
            </w:pPr>
            <w:r w:rsidRPr="00EE1DF6">
              <w:rPr>
                <w:bCs/>
                <w:sz w:val="22"/>
                <w:szCs w:val="22"/>
              </w:rPr>
              <w:t>Faculté de Droit et des Sciences Politiques de Tunis</w:t>
            </w:r>
          </w:p>
          <w:p w:rsidR="00C3699C" w:rsidRPr="00A23C86" w:rsidRDefault="00C3699C" w:rsidP="00C55C85">
            <w:pPr>
              <w:pStyle w:val="CVNormal"/>
              <w:rPr>
                <w:sz w:val="22"/>
                <w:szCs w:val="22"/>
              </w:rPr>
            </w:pPr>
          </w:p>
        </w:tc>
      </w:tr>
      <w:tr w:rsidR="00872DD0" w:rsidRPr="00A23C86" w:rsidTr="00872DD0">
        <w:trPr>
          <w:cantSplit/>
        </w:trPr>
        <w:tc>
          <w:tcPr>
            <w:tcW w:w="3628" w:type="dxa"/>
            <w:gridSpan w:val="2"/>
            <w:tcBorders>
              <w:right w:val="single" w:sz="2" w:space="0" w:color="000000"/>
            </w:tcBorders>
          </w:tcPr>
          <w:p w:rsidR="00872DD0" w:rsidRPr="00A23C86" w:rsidRDefault="00872DD0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Date</w:t>
            </w:r>
          </w:p>
        </w:tc>
        <w:tc>
          <w:tcPr>
            <w:tcW w:w="7152" w:type="dxa"/>
            <w:gridSpan w:val="4"/>
            <w:tcBorders>
              <w:left w:val="single" w:sz="2" w:space="0" w:color="000000"/>
            </w:tcBorders>
          </w:tcPr>
          <w:p w:rsidR="00872DD0" w:rsidRPr="00A23C86" w:rsidRDefault="00872DD0" w:rsidP="00C55C85">
            <w:pPr>
              <w:pStyle w:val="CVNormal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>1994</w:t>
            </w:r>
          </w:p>
        </w:tc>
      </w:tr>
      <w:tr w:rsidR="00872DD0" w:rsidRPr="00A23C86" w:rsidTr="00C55C85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872DD0" w:rsidRPr="00A23C86" w:rsidRDefault="00872DD0" w:rsidP="00C55C85">
            <w:pPr>
              <w:pStyle w:val="CVHeading3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t xml:space="preserve">Diplôme </w:t>
            </w:r>
          </w:p>
        </w:tc>
        <w:tc>
          <w:tcPr>
            <w:tcW w:w="7152" w:type="dxa"/>
            <w:gridSpan w:val="4"/>
          </w:tcPr>
          <w:p w:rsidR="00872DD0" w:rsidRPr="00A23C86" w:rsidRDefault="003F4CB3" w:rsidP="00C55C85">
            <w:pPr>
              <w:pStyle w:val="CVNormal"/>
              <w:rPr>
                <w:color w:val="FF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Baccalauréat Lettre </w:t>
            </w:r>
            <w:r w:rsidR="00872DD0" w:rsidRPr="0075623A">
              <w:rPr>
                <w:rFonts w:ascii="Bookman Old Style" w:hAnsi="Bookman Old Style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872DD0" w:rsidRPr="00A23C86" w:rsidTr="00C55C85">
        <w:trPr>
          <w:cantSplit/>
        </w:trPr>
        <w:tc>
          <w:tcPr>
            <w:tcW w:w="3628" w:type="dxa"/>
            <w:gridSpan w:val="2"/>
            <w:tcBorders>
              <w:bottom w:val="dashSmallGap" w:sz="4" w:space="0" w:color="1F497D" w:themeColor="text2"/>
              <w:right w:val="single" w:sz="1" w:space="0" w:color="000000"/>
            </w:tcBorders>
          </w:tcPr>
          <w:p w:rsidR="00872DD0" w:rsidRPr="00A23C86" w:rsidRDefault="00872DD0" w:rsidP="00C55C85">
            <w:pPr>
              <w:pStyle w:val="CVHeading3"/>
              <w:rPr>
                <w:sz w:val="22"/>
                <w:szCs w:val="22"/>
              </w:rPr>
            </w:pPr>
            <w:r w:rsidRPr="00A23C86">
              <w:rPr>
                <w:sz w:val="22"/>
                <w:szCs w:val="22"/>
              </w:rPr>
              <w:lastRenderedPageBreak/>
              <w:t>Etablissement</w:t>
            </w:r>
          </w:p>
        </w:tc>
        <w:tc>
          <w:tcPr>
            <w:tcW w:w="7152" w:type="dxa"/>
            <w:gridSpan w:val="4"/>
            <w:tcBorders>
              <w:bottom w:val="dashSmallGap" w:sz="4" w:space="0" w:color="1F497D" w:themeColor="text2"/>
            </w:tcBorders>
          </w:tcPr>
          <w:p w:rsidR="00872DD0" w:rsidRDefault="003F4CB3" w:rsidP="00C55C85">
            <w:pPr>
              <w:pStyle w:val="CVNormal"/>
              <w:rPr>
                <w:sz w:val="22"/>
                <w:szCs w:val="22"/>
              </w:rPr>
            </w:pPr>
            <w:r w:rsidRPr="003F4CB3">
              <w:rPr>
                <w:bCs/>
                <w:sz w:val="22"/>
                <w:szCs w:val="22"/>
              </w:rPr>
              <w:t xml:space="preserve">Lycée Secondaire El </w:t>
            </w:r>
            <w:proofErr w:type="spellStart"/>
            <w:r w:rsidRPr="003F4CB3">
              <w:rPr>
                <w:bCs/>
                <w:sz w:val="22"/>
                <w:szCs w:val="22"/>
              </w:rPr>
              <w:t>Omrane</w:t>
            </w:r>
            <w:proofErr w:type="spellEnd"/>
            <w:r w:rsidRPr="003F4CB3">
              <w:rPr>
                <w:bCs/>
                <w:sz w:val="22"/>
                <w:szCs w:val="22"/>
              </w:rPr>
              <w:t>- Tunis</w:t>
            </w:r>
            <w:r w:rsidRPr="00A23C86">
              <w:rPr>
                <w:sz w:val="22"/>
                <w:szCs w:val="22"/>
              </w:rPr>
              <w:t xml:space="preserve"> </w:t>
            </w:r>
          </w:p>
          <w:p w:rsidR="003F4CB3" w:rsidRPr="00A23C86" w:rsidRDefault="003F4CB3" w:rsidP="00C55C85">
            <w:pPr>
              <w:pStyle w:val="CVNormal"/>
              <w:rPr>
                <w:sz w:val="22"/>
                <w:szCs w:val="22"/>
              </w:rPr>
            </w:pPr>
          </w:p>
        </w:tc>
      </w:tr>
      <w:tr w:rsidR="00D87C3E" w:rsidRPr="00426592" w:rsidTr="00FB7194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right w:val="single" w:sz="2" w:space="0" w:color="000000"/>
            </w:tcBorders>
          </w:tcPr>
          <w:p w:rsidR="00D87C3E" w:rsidRPr="00426592" w:rsidRDefault="00D87C3E">
            <w:pPr>
              <w:pStyle w:val="CVHeading1"/>
              <w:spacing w:before="0"/>
            </w:pPr>
            <w:r w:rsidRPr="00426592">
              <w:rPr>
                <w:sz w:val="28"/>
                <w:szCs w:val="22"/>
              </w:rPr>
              <w:t>Expérience professionnelle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</w:tcBorders>
          </w:tcPr>
          <w:p w:rsidR="00D87C3E" w:rsidRPr="00426592" w:rsidRDefault="00D87C3E">
            <w:pPr>
              <w:pStyle w:val="CVNormal-FirstLine"/>
              <w:spacing w:before="0"/>
            </w:pPr>
          </w:p>
        </w:tc>
      </w:tr>
      <w:tr w:rsidR="00D87C3E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87C3E" w:rsidRPr="00426592" w:rsidRDefault="00D87C3E">
            <w:pPr>
              <w:pStyle w:val="CVSpacer"/>
            </w:pPr>
          </w:p>
        </w:tc>
        <w:tc>
          <w:tcPr>
            <w:tcW w:w="7152" w:type="dxa"/>
            <w:gridSpan w:val="4"/>
          </w:tcPr>
          <w:p w:rsidR="00D87C3E" w:rsidRPr="00426592" w:rsidRDefault="00D87C3E">
            <w:pPr>
              <w:pStyle w:val="CVSpacer"/>
            </w:pPr>
          </w:p>
        </w:tc>
      </w:tr>
      <w:tr w:rsidR="00D87C3E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87C3E" w:rsidRPr="00F80BA4" w:rsidRDefault="00E3103A" w:rsidP="00F80BA4">
            <w:pPr>
              <w:pStyle w:val="CV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</w:t>
            </w:r>
            <w:r w:rsidR="00D87C3E" w:rsidRPr="00F80B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gridSpan w:val="4"/>
          </w:tcPr>
          <w:p w:rsidR="00D87C3E" w:rsidRPr="00E3103A" w:rsidRDefault="006D0B14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sz w:val="22"/>
                <w:szCs w:val="22"/>
              </w:rPr>
              <w:t>Membre de l’Ordre national des avocats de Tunis - Avocate en exercice (depuis 1997)</w:t>
            </w:r>
          </w:p>
          <w:p w:rsidR="006D0B14" w:rsidRPr="00E3103A" w:rsidRDefault="006D0B14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sz w:val="22"/>
                <w:szCs w:val="22"/>
              </w:rPr>
              <w:t>Assistante, Maître-assistante, puis Maître de conférences à la Faculté de Droit et des Sciences Politiques de Tunis (depuis 1997)</w:t>
            </w:r>
          </w:p>
          <w:p w:rsidR="006D0B14" w:rsidRPr="00E3103A" w:rsidRDefault="00E3103A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rFonts w:cstheme="majorBidi"/>
                <w:sz w:val="22"/>
                <w:szCs w:val="22"/>
              </w:rPr>
              <w:t>Avocate au barreau de Tunis spécialisée en droit des affaires</w:t>
            </w:r>
          </w:p>
          <w:p w:rsidR="00E3103A" w:rsidRPr="00E3103A" w:rsidRDefault="00E3103A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sz w:val="22"/>
                <w:szCs w:val="22"/>
              </w:rPr>
              <w:t>Maître de conférences à la Faculté de Droit et des Sciences Politiques de Tunis</w:t>
            </w:r>
          </w:p>
          <w:p w:rsidR="00E3103A" w:rsidRPr="00E3103A" w:rsidRDefault="00E3103A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sz w:val="22"/>
                <w:szCs w:val="22"/>
              </w:rPr>
              <w:t>Responsable  du Master  Droit bancaire et financier-Faculté de Droit et des Sciences Politiques de Tunis</w:t>
            </w:r>
          </w:p>
          <w:p w:rsidR="00E3103A" w:rsidRPr="00E3103A" w:rsidRDefault="00E3103A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sz w:val="22"/>
                <w:szCs w:val="22"/>
              </w:rPr>
              <w:t>Membre du Conseil Scientifique de l’Université de Tunis-El Manar</w:t>
            </w:r>
          </w:p>
          <w:p w:rsidR="00E3103A" w:rsidRPr="00E3103A" w:rsidRDefault="00E3103A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E3103A">
              <w:rPr>
                <w:sz w:val="22"/>
                <w:szCs w:val="22"/>
              </w:rPr>
              <w:t>Membre du Laboratoire de recherche Droit des Relations Internationales des Marchés et des Négociations (DRIMAN)-Faculté de Droit et des Sciences Politiques de Tunis</w:t>
            </w:r>
          </w:p>
          <w:p w:rsidR="00E3103A" w:rsidRPr="006D0B14" w:rsidRDefault="00E3103A" w:rsidP="00E3103A">
            <w:pPr>
              <w:pStyle w:val="CVNormal"/>
              <w:rPr>
                <w:b/>
                <w:bCs/>
                <w:sz w:val="22"/>
                <w:szCs w:val="22"/>
              </w:rPr>
            </w:pPr>
          </w:p>
        </w:tc>
      </w:tr>
      <w:tr w:rsidR="006D0B14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6554B9" w:rsidRPr="006554B9" w:rsidRDefault="006554B9" w:rsidP="006554B9">
            <w:pPr>
              <w:pStyle w:val="CVHeading3"/>
              <w:rPr>
                <w:sz w:val="22"/>
                <w:szCs w:val="22"/>
              </w:rPr>
            </w:pPr>
            <w:r w:rsidRPr="006554B9">
              <w:rPr>
                <w:sz w:val="22"/>
                <w:szCs w:val="22"/>
              </w:rPr>
              <w:t>Domaines d’enseignements</w:t>
            </w:r>
          </w:p>
          <w:p w:rsidR="006D0B14" w:rsidRPr="00F80BA4" w:rsidRDefault="006D0B14" w:rsidP="00C55C85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152" w:type="dxa"/>
            <w:gridSpan w:val="4"/>
          </w:tcPr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>Droit commercial – Baux commerciaux</w:t>
            </w:r>
          </w:p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>Droit des sociétés commerciales</w:t>
            </w:r>
          </w:p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>Droit de la propriété intellectuelle</w:t>
            </w:r>
          </w:p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>Droit civil</w:t>
            </w:r>
          </w:p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 xml:space="preserve">Droit de la concurrence </w:t>
            </w:r>
          </w:p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>Droit Bancaire et financier</w:t>
            </w:r>
          </w:p>
          <w:p w:rsidR="008007AD" w:rsidRPr="008007AD" w:rsidRDefault="008007AD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8007AD">
              <w:rPr>
                <w:sz w:val="22"/>
                <w:szCs w:val="22"/>
              </w:rPr>
              <w:t>Droit des TIC</w:t>
            </w:r>
          </w:p>
          <w:p w:rsidR="006D0B14" w:rsidRPr="006D0B14" w:rsidRDefault="006D0B14" w:rsidP="008007AD">
            <w:pPr>
              <w:pStyle w:val="CVNormal"/>
              <w:rPr>
                <w:sz w:val="22"/>
                <w:szCs w:val="22"/>
              </w:rPr>
            </w:pPr>
          </w:p>
        </w:tc>
      </w:tr>
      <w:tr w:rsidR="006D0B14" w:rsidRPr="00426592" w:rsidTr="002D68F4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6D0B14" w:rsidRPr="00F80BA4" w:rsidRDefault="001F41F9" w:rsidP="00C55C85">
            <w:pPr>
              <w:pStyle w:val="CVHeading3"/>
              <w:rPr>
                <w:sz w:val="22"/>
                <w:szCs w:val="22"/>
              </w:rPr>
            </w:pPr>
            <w:r w:rsidRPr="001F41F9">
              <w:rPr>
                <w:sz w:val="22"/>
                <w:szCs w:val="22"/>
              </w:rPr>
              <w:t>Domaines de recherche</w:t>
            </w:r>
            <w:r w:rsidR="006D0B14" w:rsidRPr="00F80B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gridSpan w:val="4"/>
          </w:tcPr>
          <w:p w:rsidR="00D302D1" w:rsidRPr="00D302D1" w:rsidRDefault="00D302D1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D302D1">
              <w:rPr>
                <w:sz w:val="22"/>
                <w:szCs w:val="22"/>
              </w:rPr>
              <w:t>Droit des sociétés</w:t>
            </w:r>
          </w:p>
          <w:p w:rsidR="00D302D1" w:rsidRPr="00D302D1" w:rsidRDefault="00D302D1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D302D1">
              <w:rPr>
                <w:sz w:val="22"/>
                <w:szCs w:val="22"/>
              </w:rPr>
              <w:t>Droit commercial</w:t>
            </w:r>
          </w:p>
          <w:p w:rsidR="00D302D1" w:rsidRPr="00D302D1" w:rsidRDefault="00D302D1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D302D1">
              <w:rPr>
                <w:sz w:val="22"/>
                <w:szCs w:val="22"/>
              </w:rPr>
              <w:t>Droit des TIC- Droit de l’Internet</w:t>
            </w:r>
          </w:p>
          <w:p w:rsidR="00D302D1" w:rsidRPr="00D302D1" w:rsidRDefault="00D302D1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D302D1">
              <w:rPr>
                <w:sz w:val="22"/>
                <w:szCs w:val="22"/>
              </w:rPr>
              <w:t>Droit de la propriété intellectuelle</w:t>
            </w:r>
          </w:p>
          <w:p w:rsidR="006D0B14" w:rsidRPr="006D0B14" w:rsidRDefault="006D0B14" w:rsidP="00D302D1">
            <w:pPr>
              <w:pStyle w:val="CVNormal"/>
              <w:ind w:left="473"/>
              <w:rPr>
                <w:b/>
                <w:bCs/>
                <w:sz w:val="22"/>
                <w:szCs w:val="22"/>
              </w:rPr>
            </w:pPr>
          </w:p>
        </w:tc>
      </w:tr>
      <w:tr w:rsidR="00D302D1" w:rsidRPr="00426592" w:rsidTr="00D872EF">
        <w:trPr>
          <w:cantSplit/>
        </w:trPr>
        <w:tc>
          <w:tcPr>
            <w:tcW w:w="3628" w:type="dxa"/>
            <w:gridSpan w:val="2"/>
            <w:tcBorders>
              <w:bottom w:val="dashSmallGap" w:sz="4" w:space="0" w:color="1F497D" w:themeColor="text2"/>
              <w:right w:val="single" w:sz="2" w:space="0" w:color="000000"/>
            </w:tcBorders>
          </w:tcPr>
          <w:p w:rsidR="00D302D1" w:rsidRPr="00F80BA4" w:rsidRDefault="00D302D1" w:rsidP="00D302D1">
            <w:pPr>
              <w:pStyle w:val="CVHeading3"/>
              <w:rPr>
                <w:sz w:val="22"/>
                <w:szCs w:val="22"/>
              </w:rPr>
            </w:pPr>
            <w:r w:rsidRPr="001F41F9">
              <w:rPr>
                <w:sz w:val="22"/>
                <w:szCs w:val="22"/>
              </w:rPr>
              <w:t>Domaine</w:t>
            </w:r>
            <w:r>
              <w:rPr>
                <w:sz w:val="22"/>
                <w:szCs w:val="22"/>
              </w:rPr>
              <w:t xml:space="preserve"> d’expertise</w:t>
            </w:r>
            <w:r w:rsidRPr="00F80B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gridSpan w:val="4"/>
            <w:tcBorders>
              <w:left w:val="single" w:sz="2" w:space="0" w:color="000000"/>
              <w:bottom w:val="dashSmallGap" w:sz="4" w:space="0" w:color="1F497D" w:themeColor="text2"/>
            </w:tcBorders>
          </w:tcPr>
          <w:p w:rsidR="00C95A63" w:rsidRPr="00C95A63" w:rsidRDefault="00C95A63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commercial</w:t>
            </w:r>
          </w:p>
          <w:p w:rsidR="00C95A63" w:rsidRPr="00C95A63" w:rsidRDefault="00C95A63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des sociétés commerciales</w:t>
            </w:r>
          </w:p>
          <w:p w:rsidR="00C95A63" w:rsidRPr="00C95A63" w:rsidRDefault="00C95A63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civil- Droit des contrats (nationaux et internationaux)</w:t>
            </w:r>
          </w:p>
          <w:p w:rsidR="00C95A63" w:rsidRPr="00C95A63" w:rsidRDefault="00C95A63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des TIC- E-commerce</w:t>
            </w:r>
          </w:p>
          <w:p w:rsidR="00C95A63" w:rsidRPr="00C95A63" w:rsidRDefault="00C95A63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de la propriété intellectuelle</w:t>
            </w:r>
          </w:p>
          <w:p w:rsidR="00C95A63" w:rsidRPr="00C95A63" w:rsidRDefault="00C95A63" w:rsidP="00113750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de la concurrence</w:t>
            </w:r>
          </w:p>
          <w:p w:rsidR="00D302D1" w:rsidRPr="006D0B14" w:rsidRDefault="00C95A63" w:rsidP="0031388F">
            <w:pPr>
              <w:pStyle w:val="CVNormal"/>
              <w:numPr>
                <w:ilvl w:val="0"/>
                <w:numId w:val="7"/>
              </w:numPr>
              <w:spacing w:before="60" w:after="60"/>
              <w:ind w:left="470" w:hanging="357"/>
              <w:rPr>
                <w:b/>
                <w:bCs/>
                <w:sz w:val="22"/>
                <w:szCs w:val="22"/>
              </w:rPr>
            </w:pPr>
            <w:r w:rsidRPr="00C95A63">
              <w:rPr>
                <w:sz w:val="22"/>
                <w:szCs w:val="22"/>
              </w:rPr>
              <w:t>Droit de l’arbitrage</w:t>
            </w:r>
            <w:r w:rsidR="0031388F">
              <w:rPr>
                <w:sz w:val="22"/>
                <w:szCs w:val="22"/>
              </w:rPr>
              <w:t xml:space="preserve">  interne et international </w:t>
            </w:r>
          </w:p>
        </w:tc>
      </w:tr>
      <w:tr w:rsidR="00D302D1" w:rsidRPr="004E0895" w:rsidTr="00925E8D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single" w:sz="2" w:space="0" w:color="000000"/>
            </w:tcBorders>
          </w:tcPr>
          <w:p w:rsidR="00D302D1" w:rsidRPr="00083618" w:rsidRDefault="00083618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  <w:sz w:val="28"/>
                <w:szCs w:val="22"/>
              </w:rPr>
              <w:lastRenderedPageBreak/>
              <w:t xml:space="preserve">Publications &amp; Articles 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  <w:bottom w:val="dashSmallGap" w:sz="4" w:space="0" w:color="1F497D" w:themeColor="text2"/>
            </w:tcBorders>
          </w:tcPr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« La situation des créanciers d’une entreprise en difficultés économiques », Les cahiers de l’ISCAE- 1998.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7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Droit d’auteur et Internet, Revue Tunisienne de Droit- 2007.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7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 responsabilité du fournisseur d’accès relative aux données personnelles, Revue de  la Jurisprudence et de la législation, novembre 2008.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7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Vie privée et responsabilité des acteurs sur Internet, Revue Tunisienne de Droit- 2008.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 créance et le redressement des entreprises en difficultés économiques (Note d’arrêt), Revue de la jurisprudence et de la législation, avril 2009.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 xml:space="preserve">La protection de la vie privée entre la constitution et les nouvelles </w:t>
            </w:r>
            <w:proofErr w:type="gramStart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technologies ,</w:t>
            </w:r>
            <w:proofErr w:type="gramEnd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 xml:space="preserve"> Annales  des sciences juridiques - Faculté des sciences juridiques économiques et de gestion de Jendouba- 2010.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L’usage du pseudonyme sur Internet : questions éthico-légales, Revue Pertinence, N°4, édition de l’Université Antonine- Beyrouth- LIBAN- 2011.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  <w:lang w:val="en-US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  <w:lang w:val="en-US"/>
              </w:rPr>
              <w:t xml:space="preserve">Child labor in Tunisia; law and reality, Cambridge scholars review- </w:t>
            </w:r>
            <w:proofErr w:type="spellStart"/>
            <w:r w:rsidRPr="004E0895">
              <w:rPr>
                <w:rFonts w:ascii="Arial Narrow" w:hAnsi="Arial Narrow" w:cstheme="minorBidi"/>
                <w:bCs/>
                <w:sz w:val="22"/>
                <w:szCs w:val="22"/>
                <w:lang w:val="en-US"/>
              </w:rPr>
              <w:t>Septembre</w:t>
            </w:r>
            <w:proofErr w:type="spellEnd"/>
            <w:r w:rsidRPr="004E0895">
              <w:rPr>
                <w:rFonts w:ascii="Arial Narrow" w:hAnsi="Arial Narrow" w:cstheme="minorBidi"/>
                <w:bCs/>
                <w:sz w:val="22"/>
                <w:szCs w:val="22"/>
                <w:lang w:val="en-US"/>
              </w:rPr>
              <w:t>, 2011 (</w:t>
            </w:r>
            <w:hyperlink r:id="rId10" w:history="1">
              <w:r w:rsidRPr="004E0895">
                <w:rPr>
                  <w:rStyle w:val="Lienhypertexte"/>
                  <w:rFonts w:ascii="Arial Narrow" w:hAnsi="Arial Narrow" w:cstheme="minorBidi"/>
                  <w:bCs/>
                  <w:sz w:val="22"/>
                  <w:szCs w:val="22"/>
                  <w:lang w:val="en-US"/>
                </w:rPr>
                <w:t>http://www.c-s-p.org/Flyers/Productivity--Investment-in-Human-Capital-and-the-Challenge-of-Youth-Employment1-4438-3174-3.htm</w:t>
              </w:r>
            </w:hyperlink>
            <w:r w:rsidRPr="004E0895">
              <w:rPr>
                <w:rFonts w:ascii="Arial Narrow" w:hAnsi="Arial Narrow" w:cstheme="minorBidi"/>
                <w:bCs/>
                <w:sz w:val="22"/>
                <w:szCs w:val="22"/>
                <w:lang w:val="en-US"/>
              </w:rPr>
              <w:t>).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Le droit commercial existe t-il encore ? Etude du droit commercial Tunisien, Revue Etudes Juridiques n°20- Faculté de Droit de Sfax.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Le devoir du conseil du banquier dispensateur de crédit, Commentaire d’arrêt, Revue Etudes Juridiques n°21- Faculté de Droit de Sfax 2014.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Rapport de synthèse – Colloque « La sécurité dans le cyberespace », organisé les 6-7 décembre 2012 à Tunis par le laboratoire DRIMAN, Publié dans l’ouvrage collectif paru sous les éditions Maison du Livre 2014 : « Internet espace de liberté et source de  problématiques juridiques ».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Rapport de synthèse - Journée d’étude organisée par le laboratoire DRIMAN                        « Concurrence, Distribution et commerce électronique », le 23 octobre 2014 à Tunis, A paraître aux éditions Maison du Livre 2015.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 e –réputation des entreprises commerciale un triple enjeu : économique, juridique et technologique- Revue infojuridiques-</w:t>
            </w:r>
            <w:proofErr w:type="gramStart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2016 .</w:t>
            </w:r>
            <w:proofErr w:type="gramEnd"/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Le droit d’accès à l’information- Agenda Juridique-Juin 2016.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7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 dématérialisation du droit de rétention des titres, conférence dans le cadre du colloque organisé le 13 mai 2017 « Le droit commercial entre révolution technologique et évolution économique », Faculté des Sciences Juridiques Politiques et Sociales.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 w:line="276" w:lineRule="auto"/>
              <w:ind w:left="57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 xml:space="preserve">L’abus de majorité- A paraître ouvrage collectif   « De quelques abus de droit dans les sociétés commerciales » aux éditions </w:t>
            </w:r>
            <w:proofErr w:type="spellStart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Latrach</w:t>
            </w:r>
            <w:proofErr w:type="spellEnd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- 2017.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 clause léonine, A paraître aux Mélanges dédiés au Professeur Mohamed ZINE, A paraître aux  éditions CPU- 2017.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 xml:space="preserve">La notion d’originalité en droit d’auteur, A paraître dans un ouvrage collectif 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Unité de recherche JURISPRUDENCE- Faculté de Droit et des Sciences Politiques.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La médiation en droit commercial, A paraître aux éditions PEDONE –Paris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Ouvrage collectif « La médiation dans tous ses Etats » (Actes de colloque).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Le droit au renouvellement du bail et les procédures de redressement des entreprises en difficultés économiques, A paraître dans un ouvrage collectif –Unité de recherche Voies d’exécution -2017.</w:t>
            </w:r>
          </w:p>
          <w:p w:rsidR="000619EC" w:rsidRPr="004E0895" w:rsidRDefault="000619EC" w:rsidP="004E0895">
            <w:pPr>
              <w:pStyle w:val="Paragraphedeliste"/>
              <w:numPr>
                <w:ilvl w:val="0"/>
                <w:numId w:val="10"/>
              </w:numPr>
              <w:tabs>
                <w:tab w:val="left" w:pos="200"/>
              </w:tabs>
              <w:spacing w:before="120" w:after="120"/>
              <w:ind w:left="58" w:firstLine="0"/>
              <w:contextualSpacing w:val="0"/>
              <w:jc w:val="both"/>
              <w:rPr>
                <w:rFonts w:ascii="Arial Narrow" w:hAnsi="Arial Narrow" w:cstheme="minorBidi"/>
                <w:sz w:val="22"/>
                <w:szCs w:val="22"/>
              </w:rPr>
            </w:pPr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 xml:space="preserve">La marque notoire, A paraître aux mélanges dédiés au Professeur </w:t>
            </w:r>
            <w:proofErr w:type="spellStart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Nébila</w:t>
            </w:r>
            <w:proofErr w:type="spellEnd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 xml:space="preserve"> </w:t>
            </w:r>
            <w:proofErr w:type="spellStart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Mezghani</w:t>
            </w:r>
            <w:proofErr w:type="spellEnd"/>
            <w:r w:rsidRPr="004E0895">
              <w:rPr>
                <w:rFonts w:ascii="Arial Narrow" w:hAnsi="Arial Narrow" w:cstheme="minorBidi"/>
                <w:bCs/>
                <w:sz w:val="22"/>
                <w:szCs w:val="22"/>
              </w:rPr>
              <w:t>.</w:t>
            </w:r>
          </w:p>
          <w:p w:rsidR="000619EC" w:rsidRPr="004E0895" w:rsidRDefault="000619EC" w:rsidP="000619EC">
            <w:pPr>
              <w:pStyle w:val="CVNormal"/>
              <w:tabs>
                <w:tab w:val="left" w:pos="908"/>
              </w:tabs>
              <w:ind w:left="908"/>
              <w:rPr>
                <w:rFonts w:cstheme="minorBidi"/>
                <w:sz w:val="22"/>
                <w:szCs w:val="22"/>
              </w:rPr>
            </w:pPr>
          </w:p>
        </w:tc>
      </w:tr>
      <w:tr w:rsidR="00D302D1" w:rsidRPr="00426592" w:rsidTr="00B21D4A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single" w:sz="2" w:space="0" w:color="000000"/>
            </w:tcBorders>
          </w:tcPr>
          <w:p w:rsidR="00D302D1" w:rsidRPr="00CA63C4" w:rsidRDefault="00CA63C4" w:rsidP="0010504E">
            <w:pPr>
              <w:pStyle w:val="CVHeading3-FirstLine"/>
              <w:spacing w:before="0"/>
              <w:rPr>
                <w:sz w:val="28"/>
                <w:szCs w:val="28"/>
              </w:rPr>
            </w:pPr>
            <w:r>
              <w:rPr>
                <w:rFonts w:cstheme="majorBidi"/>
                <w:b/>
                <w:sz w:val="28"/>
                <w:szCs w:val="28"/>
              </w:rPr>
              <w:lastRenderedPageBreak/>
              <w:t>Conférences &amp; Colloques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  <w:bottom w:val="dashSmallGap" w:sz="4" w:space="0" w:color="1F497D" w:themeColor="text2"/>
            </w:tcBorders>
          </w:tcPr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sz w:val="22"/>
                <w:szCs w:val="22"/>
              </w:rPr>
              <w:t xml:space="preserve">1. Droit d’auteur et Internet, </w:t>
            </w:r>
            <w:r w:rsidRPr="006F5919">
              <w:rPr>
                <w:rFonts w:cstheme="majorBidi"/>
                <w:sz w:val="22"/>
                <w:szCs w:val="22"/>
              </w:rPr>
              <w:t>communication présentée dans le cadre de la</w:t>
            </w:r>
            <w:r w:rsidRPr="006F5919">
              <w:rPr>
                <w:rFonts w:cstheme="majorBidi"/>
                <w:b/>
                <w:sz w:val="22"/>
                <w:szCs w:val="22"/>
              </w:rPr>
              <w:t xml:space="preserve"> </w:t>
            </w:r>
            <w:r w:rsidRPr="006F5919">
              <w:rPr>
                <w:rFonts w:cstheme="majorBidi"/>
                <w:sz w:val="22"/>
                <w:szCs w:val="22"/>
              </w:rPr>
              <w:t xml:space="preserve"> Table ronde : </w:t>
            </w:r>
            <w:r w:rsidRPr="006F5919">
              <w:rPr>
                <w:rFonts w:cstheme="majorBidi"/>
                <w:b/>
                <w:sz w:val="22"/>
                <w:szCs w:val="22"/>
              </w:rPr>
              <w:t xml:space="preserve">«  La propriété Intellectuelle et Internet » </w:t>
            </w:r>
            <w:r w:rsidRPr="006F5919">
              <w:rPr>
                <w:rFonts w:cstheme="majorBidi"/>
                <w:sz w:val="22"/>
                <w:szCs w:val="22"/>
              </w:rPr>
              <w:t>organisée par le Laboratoire de recherche DRIMAN-Faculté de Droit et des Sciences Politiques de Tunis, le 24 avril 2007.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sz w:val="22"/>
                <w:szCs w:val="22"/>
              </w:rPr>
              <w:t>2. Vie privée et responsabilité des acteurs sur Internet,</w:t>
            </w:r>
            <w:r w:rsidRPr="006F5919">
              <w:rPr>
                <w:rFonts w:cstheme="majorBidi"/>
                <w:sz w:val="22"/>
                <w:szCs w:val="22"/>
              </w:rPr>
              <w:t xml:space="preserve"> Conférence Internationale organisée par l’Association Internationale de lutte contre la cybercriminalité – Egypte-Caire-  Juin 2008.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b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sz w:val="22"/>
                <w:szCs w:val="22"/>
              </w:rPr>
              <w:t xml:space="preserve">3. La responsabilité du fournisseur d’accès relative aux données personnelles », </w:t>
            </w:r>
            <w:r w:rsidRPr="006F5919">
              <w:rPr>
                <w:rFonts w:cstheme="majorBidi"/>
                <w:sz w:val="22"/>
                <w:szCs w:val="22"/>
              </w:rPr>
              <w:t>communication présentée lors de la Journée d’études </w:t>
            </w:r>
            <w:r w:rsidRPr="006F5919">
              <w:rPr>
                <w:rFonts w:cstheme="majorBidi"/>
                <w:b/>
                <w:sz w:val="22"/>
                <w:szCs w:val="22"/>
              </w:rPr>
              <w:t>: « Internet et vie privée »</w:t>
            </w:r>
            <w:r w:rsidRPr="006F5919">
              <w:rPr>
                <w:rFonts w:cstheme="majorBidi"/>
                <w:sz w:val="22"/>
                <w:szCs w:val="22"/>
              </w:rPr>
              <w:t>, organisée par le Laboratoire de recherche DRIMAN- Faculté de Droit et des Sciences Politiques de Tunis, le 26 février 2008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sz w:val="22"/>
                <w:szCs w:val="22"/>
              </w:rPr>
              <w:t xml:space="preserve">4. Le pseudonyme, </w:t>
            </w:r>
            <w:r w:rsidRPr="006F5919">
              <w:rPr>
                <w:rFonts w:cstheme="majorBidi"/>
                <w:sz w:val="22"/>
                <w:szCs w:val="22"/>
              </w:rPr>
              <w:t>communication présentée lors de la</w:t>
            </w:r>
            <w:r w:rsidRPr="006F5919">
              <w:rPr>
                <w:rFonts w:cstheme="majorBidi"/>
                <w:b/>
                <w:sz w:val="22"/>
                <w:szCs w:val="22"/>
              </w:rPr>
              <w:t xml:space="preserve"> </w:t>
            </w:r>
            <w:r w:rsidRPr="006F5919">
              <w:rPr>
                <w:rFonts w:cstheme="majorBidi"/>
                <w:sz w:val="22"/>
                <w:szCs w:val="22"/>
              </w:rPr>
              <w:t>Journée d’études : </w:t>
            </w:r>
            <w:r w:rsidRPr="006F5919">
              <w:rPr>
                <w:rFonts w:cstheme="majorBidi"/>
                <w:b/>
                <w:sz w:val="22"/>
                <w:szCs w:val="22"/>
              </w:rPr>
              <w:t>« L’identité numérique »</w:t>
            </w:r>
            <w:r w:rsidRPr="006F5919">
              <w:rPr>
                <w:rFonts w:cstheme="majorBidi"/>
                <w:sz w:val="22"/>
                <w:szCs w:val="22"/>
              </w:rPr>
              <w:t xml:space="preserve"> organisée par le laboratoire de recherche DRIMAN- et le Centre d’études juridiques et judiciaire, à la Faculté de Droit et des Sciences Politiques de Tunis le 14 avril 2009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sz w:val="22"/>
                <w:szCs w:val="22"/>
              </w:rPr>
              <w:t>5. La protection de la vie privée entre la constitution et les nouvelles technologies,</w:t>
            </w:r>
            <w:r w:rsidRPr="006F5919">
              <w:rPr>
                <w:rFonts w:cstheme="majorBidi"/>
                <w:sz w:val="22"/>
                <w:szCs w:val="22"/>
              </w:rPr>
              <w:t xml:space="preserve"> communication présentée dans le cadre du colloque organisé par la Faculté des Sciences Juridiques Economiques et de Gestion de Jendouba-  Tabarka- Avril 2009.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bCs/>
                <w:sz w:val="22"/>
                <w:szCs w:val="22"/>
              </w:rPr>
              <w:t>6</w:t>
            </w:r>
            <w:r w:rsidRPr="006F5919">
              <w:rPr>
                <w:rFonts w:cstheme="majorBidi"/>
                <w:sz w:val="22"/>
                <w:szCs w:val="22"/>
              </w:rPr>
              <w:t xml:space="preserve">. </w:t>
            </w:r>
            <w:r w:rsidRPr="006F5919">
              <w:rPr>
                <w:rFonts w:cstheme="majorBidi"/>
                <w:b/>
                <w:sz w:val="22"/>
                <w:szCs w:val="22"/>
              </w:rPr>
              <w:t>L’impact de l’anonymat sur la sécurité Informatique,</w:t>
            </w:r>
            <w:r w:rsidRPr="006F5919">
              <w:rPr>
                <w:rFonts w:cstheme="majorBidi"/>
                <w:sz w:val="22"/>
                <w:szCs w:val="22"/>
              </w:rPr>
              <w:t xml:space="preserve">  Communication présentée lors de la troisième Conférence Internationale  organisée par l’Association Internationale de lutte contre la cybercriminalité –Liban-Beyrouth les 20-22 octobre 2009.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bCs/>
                <w:sz w:val="22"/>
                <w:szCs w:val="22"/>
              </w:rPr>
              <w:t>7.</w:t>
            </w:r>
            <w:r>
              <w:rPr>
                <w:rFonts w:cstheme="majorBidi"/>
                <w:b/>
                <w:bCs/>
                <w:sz w:val="22"/>
                <w:szCs w:val="22"/>
              </w:rPr>
              <w:t xml:space="preserve"> </w:t>
            </w:r>
            <w:r w:rsidRPr="006F5919">
              <w:rPr>
                <w:rFonts w:cstheme="majorBidi"/>
                <w:b/>
                <w:bCs/>
                <w:sz w:val="22"/>
                <w:szCs w:val="22"/>
              </w:rPr>
              <w:t xml:space="preserve">Child labour in </w:t>
            </w:r>
            <w:proofErr w:type="spellStart"/>
            <w:r w:rsidRPr="006F5919">
              <w:rPr>
                <w:rFonts w:cstheme="majorBidi"/>
                <w:b/>
                <w:bCs/>
                <w:sz w:val="22"/>
                <w:szCs w:val="22"/>
              </w:rPr>
              <w:t>Tunisia</w:t>
            </w:r>
            <w:proofErr w:type="spellEnd"/>
            <w:r w:rsidRPr="006F5919">
              <w:rPr>
                <w:rFonts w:cstheme="majorBidi"/>
                <w:b/>
                <w:bCs/>
                <w:sz w:val="22"/>
                <w:szCs w:val="22"/>
              </w:rPr>
              <w:t xml:space="preserve"> : </w:t>
            </w:r>
            <w:proofErr w:type="spellStart"/>
            <w:r w:rsidRPr="006F5919">
              <w:rPr>
                <w:rFonts w:cstheme="majorBidi"/>
                <w:b/>
                <w:bCs/>
                <w:sz w:val="22"/>
                <w:szCs w:val="22"/>
              </w:rPr>
              <w:t>law</w:t>
            </w:r>
            <w:proofErr w:type="spellEnd"/>
            <w:r w:rsidRPr="006F5919">
              <w:rPr>
                <w:rFonts w:cstheme="majorBidi"/>
                <w:b/>
                <w:bCs/>
                <w:sz w:val="22"/>
                <w:szCs w:val="22"/>
              </w:rPr>
              <w:t xml:space="preserve"> and reality,</w:t>
            </w:r>
            <w:r w:rsidRPr="006F5919">
              <w:rPr>
                <w:rFonts w:cstheme="majorBidi"/>
                <w:sz w:val="22"/>
                <w:szCs w:val="22"/>
              </w:rPr>
              <w:t xml:space="preserve"> Communication présentée le 17 décembre 2010 dans le cadre de la conférence Internationale organisée à </w:t>
            </w:r>
            <w:proofErr w:type="spellStart"/>
            <w:r w:rsidRPr="006F5919">
              <w:rPr>
                <w:rFonts w:cstheme="majorBidi"/>
                <w:sz w:val="22"/>
                <w:szCs w:val="22"/>
              </w:rPr>
              <w:t>Bergamo</w:t>
            </w:r>
            <w:proofErr w:type="spellEnd"/>
            <w:r w:rsidRPr="006F5919">
              <w:rPr>
                <w:rFonts w:cstheme="majorBidi"/>
                <w:sz w:val="22"/>
                <w:szCs w:val="22"/>
              </w:rPr>
              <w:t xml:space="preserve"> -Italie par ADAPT et l’Université de </w:t>
            </w:r>
            <w:proofErr w:type="spellStart"/>
            <w:r w:rsidRPr="006F5919">
              <w:rPr>
                <w:rFonts w:cstheme="majorBidi"/>
                <w:sz w:val="22"/>
                <w:szCs w:val="22"/>
              </w:rPr>
              <w:t>Bergamo</w:t>
            </w:r>
            <w:proofErr w:type="spellEnd"/>
            <w:r w:rsidRPr="006F5919">
              <w:rPr>
                <w:rFonts w:cstheme="majorBidi"/>
                <w:sz w:val="22"/>
                <w:szCs w:val="22"/>
              </w:rPr>
              <w:t xml:space="preserve"> relative à la productivité l’emploi des jeunes et l’investissement dans le capital humain, voir </w:t>
            </w:r>
            <w:hyperlink r:id="rId11" w:history="1">
              <w:r w:rsidRPr="006F5919">
                <w:rPr>
                  <w:rStyle w:val="Lienhypertexte"/>
                  <w:rFonts w:cstheme="majorBidi"/>
                  <w:sz w:val="22"/>
                  <w:szCs w:val="22"/>
                </w:rPr>
                <w:t>www.adapt.it</w:t>
              </w:r>
            </w:hyperlink>
            <w:r w:rsidRPr="006F5919">
              <w:rPr>
                <w:rFonts w:cstheme="majorBidi"/>
                <w:sz w:val="22"/>
                <w:szCs w:val="22"/>
              </w:rPr>
              <w:t xml:space="preserve"> 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bCs/>
                <w:sz w:val="22"/>
                <w:szCs w:val="22"/>
              </w:rPr>
              <w:t>8.</w:t>
            </w:r>
            <w:r>
              <w:rPr>
                <w:rFonts w:cstheme="majorBidi"/>
                <w:b/>
                <w:bCs/>
                <w:sz w:val="22"/>
                <w:szCs w:val="22"/>
              </w:rPr>
              <w:t xml:space="preserve"> </w:t>
            </w:r>
            <w:r w:rsidRPr="006F5919">
              <w:rPr>
                <w:rFonts w:cstheme="majorBidi"/>
                <w:b/>
                <w:bCs/>
                <w:sz w:val="22"/>
                <w:szCs w:val="22"/>
              </w:rPr>
              <w:t xml:space="preserve">La législation Tunisienne et la lutte contre la </w:t>
            </w:r>
            <w:proofErr w:type="gramStart"/>
            <w:r w:rsidRPr="006F5919">
              <w:rPr>
                <w:rFonts w:cstheme="majorBidi"/>
                <w:b/>
                <w:bCs/>
                <w:sz w:val="22"/>
                <w:szCs w:val="22"/>
              </w:rPr>
              <w:t>cybercriminalité ,</w:t>
            </w:r>
            <w:proofErr w:type="gramEnd"/>
            <w:r w:rsidRPr="006F5919">
              <w:rPr>
                <w:rFonts w:cstheme="majorBidi"/>
                <w:sz w:val="22"/>
                <w:szCs w:val="22"/>
              </w:rPr>
              <w:t xml:space="preserve"> communication présentée dans le cadre de la journée arabe de lutte contre la cybercriminalité, organisée sous l’égide de la ligue arabe les 20-21- et 22 décembre 2010 à Beyrouth-Liban.</w:t>
            </w: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sz w:val="22"/>
                <w:szCs w:val="22"/>
              </w:rPr>
              <w:t xml:space="preserve">9. La cybercriminalité et la révolution </w:t>
            </w:r>
            <w:proofErr w:type="gramStart"/>
            <w:r w:rsidRPr="006F5919">
              <w:rPr>
                <w:rFonts w:cstheme="majorBidi"/>
                <w:b/>
                <w:sz w:val="22"/>
                <w:szCs w:val="22"/>
              </w:rPr>
              <w:t>Tunisienne ,</w:t>
            </w:r>
            <w:proofErr w:type="gramEnd"/>
            <w:r w:rsidRPr="006F5919">
              <w:rPr>
                <w:rFonts w:cstheme="majorBidi"/>
                <w:sz w:val="22"/>
                <w:szCs w:val="22"/>
              </w:rPr>
              <w:t xml:space="preserve"> Conférence présentée dans le cadre de la deuxième journée panarabe de lutte contre la cybercriminalité et de la sécurité dans le cyber espace- Université Jordanienne- Faculté de Droit les 20-22 novembre 2011.</w:t>
            </w:r>
          </w:p>
          <w:p w:rsidR="006F5919" w:rsidRPr="006F5919" w:rsidRDefault="006F5919" w:rsidP="006F5919">
            <w:pPr>
              <w:spacing w:line="276" w:lineRule="auto"/>
              <w:jc w:val="both"/>
              <w:rPr>
                <w:rFonts w:cstheme="majorBidi"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bCs/>
                <w:sz w:val="22"/>
                <w:szCs w:val="22"/>
              </w:rPr>
              <w:t>10. Le contrat de franchise au carrefour du droit de la propriété industrielle et du droit de la concurrence -</w:t>
            </w:r>
            <w:r w:rsidRPr="006F5919">
              <w:rPr>
                <w:rFonts w:cstheme="majorBidi"/>
                <w:sz w:val="22"/>
                <w:szCs w:val="22"/>
              </w:rPr>
              <w:t xml:space="preserve"> Salon Med Franchise- Union Tunisienne de Commerce et d’Industrie- Tunis les 7-8-9   décembre 2011.</w:t>
            </w:r>
          </w:p>
          <w:p w:rsidR="006F5919" w:rsidRPr="006F5919" w:rsidRDefault="006F5919" w:rsidP="006F5919">
            <w:pPr>
              <w:spacing w:line="276" w:lineRule="auto"/>
              <w:jc w:val="both"/>
              <w:rPr>
                <w:rFonts w:cstheme="majorBidi"/>
                <w:sz w:val="22"/>
                <w:szCs w:val="22"/>
              </w:rPr>
            </w:pPr>
          </w:p>
          <w:p w:rsidR="006F5919" w:rsidRPr="006F5919" w:rsidRDefault="006F5919" w:rsidP="006F5919">
            <w:pPr>
              <w:spacing w:line="276" w:lineRule="auto"/>
              <w:ind w:left="200"/>
              <w:jc w:val="both"/>
              <w:rPr>
                <w:rFonts w:cstheme="majorBidi"/>
                <w:sz w:val="22"/>
                <w:szCs w:val="22"/>
              </w:rPr>
            </w:pPr>
            <w:r w:rsidRPr="006F5919">
              <w:rPr>
                <w:rFonts w:cstheme="majorBidi"/>
                <w:b/>
                <w:bCs/>
                <w:sz w:val="22"/>
                <w:szCs w:val="22"/>
              </w:rPr>
              <w:t>11. Le printemps Tunisien : Hier, Aujourd’hui et Demain,</w:t>
            </w:r>
            <w:r w:rsidRPr="006F5919">
              <w:rPr>
                <w:rFonts w:cstheme="majorBidi"/>
                <w:sz w:val="22"/>
                <w:szCs w:val="22"/>
              </w:rPr>
              <w:t xml:space="preserve"> Conférence présentée à l’OTAN- Bruxelles- Belgique- Mars 2012. </w:t>
            </w:r>
          </w:p>
          <w:p w:rsidR="006F5919" w:rsidRPr="006F5919" w:rsidRDefault="006F5919" w:rsidP="006F5919">
            <w:pPr>
              <w:spacing w:line="276" w:lineRule="auto"/>
              <w:jc w:val="both"/>
              <w:rPr>
                <w:rFonts w:cstheme="minorBidi"/>
                <w:sz w:val="22"/>
                <w:szCs w:val="22"/>
              </w:rPr>
            </w:pPr>
          </w:p>
          <w:p w:rsidR="00D302D1" w:rsidRPr="00426592" w:rsidRDefault="006F5919" w:rsidP="006F5919">
            <w:pPr>
              <w:pStyle w:val="CVNormal"/>
              <w:ind w:left="200"/>
              <w:rPr>
                <w:b/>
                <w:bCs/>
              </w:rPr>
            </w:pPr>
            <w:r w:rsidRPr="006F5919">
              <w:rPr>
                <w:rFonts w:cstheme="minorBidi"/>
                <w:b/>
                <w:bCs/>
                <w:sz w:val="22"/>
                <w:szCs w:val="22"/>
              </w:rPr>
              <w:t>12.</w:t>
            </w:r>
            <w:r w:rsidRPr="006F5919">
              <w:rPr>
                <w:rFonts w:cstheme="minorBidi"/>
                <w:sz w:val="22"/>
                <w:szCs w:val="22"/>
              </w:rPr>
              <w:t xml:space="preserve"> Des conférences annuelles sont présentées dans le cadre des activités universitaires, faisant l’objet de publication</w:t>
            </w:r>
            <w:r w:rsidRPr="006F5919">
              <w:rPr>
                <w:rFonts w:cstheme="majorBidi"/>
                <w:sz w:val="22"/>
                <w:szCs w:val="22"/>
              </w:rPr>
              <w:t>.</w:t>
            </w:r>
          </w:p>
        </w:tc>
      </w:tr>
      <w:tr w:rsidR="00D302D1" w:rsidRPr="00426592" w:rsidTr="005C6455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single" w:sz="2" w:space="0" w:color="000000"/>
            </w:tcBorders>
          </w:tcPr>
          <w:p w:rsidR="00D302D1" w:rsidRPr="00905F39" w:rsidRDefault="00905F39" w:rsidP="00905F39">
            <w:pPr>
              <w:pStyle w:val="CVHeading3"/>
              <w:spacing w:before="120"/>
              <w:rPr>
                <w:b/>
                <w:bCs/>
                <w:sz w:val="24"/>
                <w:szCs w:val="24"/>
              </w:rPr>
            </w:pPr>
            <w:r w:rsidRPr="00905F39">
              <w:rPr>
                <w:b/>
                <w:bCs/>
                <w:sz w:val="28"/>
                <w:szCs w:val="28"/>
              </w:rPr>
              <w:lastRenderedPageBreak/>
              <w:t xml:space="preserve">Activités </w:t>
            </w:r>
            <w:r>
              <w:rPr>
                <w:b/>
                <w:bCs/>
                <w:sz w:val="28"/>
                <w:szCs w:val="28"/>
              </w:rPr>
              <w:t>nationales et i</w:t>
            </w:r>
            <w:r w:rsidRPr="00905F39">
              <w:rPr>
                <w:b/>
                <w:bCs/>
                <w:sz w:val="28"/>
                <w:szCs w:val="28"/>
              </w:rPr>
              <w:t xml:space="preserve">nternationales 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  <w:bottom w:val="dashSmallGap" w:sz="4" w:space="0" w:color="1F497D" w:themeColor="text2"/>
            </w:tcBorders>
          </w:tcPr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Participation au Programme International sur les ONG (International leadership program) organisé par le gouvernement Américain- Etats Unis d’Amérique –Août 2007.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Participation au colloque organisé par le CEDE  « La propriété Intellectuelle dans un monde globalisé » Paris- Octobre 2008.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 xml:space="preserve">Organisatrice et coordinatrice du </w:t>
            </w:r>
            <w:r w:rsidR="00B0784D" w:rsidRPr="005C6455">
              <w:rPr>
                <w:rFonts w:ascii="Arial Narrow" w:hAnsi="Arial Narrow"/>
                <w:sz w:val="22"/>
                <w:szCs w:val="22"/>
              </w:rPr>
              <w:t>rendez-vous</w:t>
            </w:r>
            <w:r w:rsidRPr="005C6455">
              <w:rPr>
                <w:rFonts w:ascii="Arial Narrow" w:hAnsi="Arial Narrow"/>
                <w:sz w:val="22"/>
                <w:szCs w:val="22"/>
              </w:rPr>
              <w:t xml:space="preserve"> annuel de l’Unité de recherche sur le commerce électronique du laboratoire DRIMAN (</w:t>
            </w:r>
            <w:hyperlink r:id="rId12" w:history="1">
              <w:r w:rsidRPr="005C6455">
                <w:rPr>
                  <w:rFonts w:ascii="Arial Narrow" w:hAnsi="Arial Narrow"/>
                  <w:sz w:val="22"/>
                  <w:szCs w:val="22"/>
                </w:rPr>
                <w:t>http://www.utm.rnu.tn/visirech/Fr/utm/fdspt/driman/</w:t>
              </w:r>
            </w:hyperlink>
            <w:r w:rsidRPr="005C6455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 xml:space="preserve">Participation aux travaux  du forum régional UIT sur la </w:t>
            </w:r>
            <w:proofErr w:type="spellStart"/>
            <w:r w:rsidRPr="005C6455">
              <w:rPr>
                <w:rFonts w:ascii="Arial Narrow" w:hAnsi="Arial Narrow"/>
                <w:sz w:val="22"/>
                <w:szCs w:val="22"/>
              </w:rPr>
              <w:t>cybersécurité</w:t>
            </w:r>
            <w:proofErr w:type="spellEnd"/>
            <w:r w:rsidRPr="005C6455">
              <w:rPr>
                <w:rFonts w:ascii="Arial Narrow" w:hAnsi="Arial Narrow"/>
                <w:sz w:val="22"/>
                <w:szCs w:val="22"/>
              </w:rPr>
              <w:t xml:space="preserve"> pour l’Afrique et les États arabes, tenu à Tunis-Tunisie- les 4-5 juin 2009.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 xml:space="preserve">Coordinatrice du concours de plaidoirie dans les pays du moyen orient et l’Afrique du nord organisé par Raoul </w:t>
            </w:r>
            <w:proofErr w:type="spellStart"/>
            <w:r w:rsidRPr="005C6455">
              <w:rPr>
                <w:rFonts w:ascii="Arial Narrow" w:hAnsi="Arial Narrow"/>
                <w:sz w:val="22"/>
                <w:szCs w:val="22"/>
              </w:rPr>
              <w:t>Wellengerb</w:t>
            </w:r>
            <w:proofErr w:type="spellEnd"/>
            <w:r w:rsidRPr="005C6455">
              <w:rPr>
                <w:rFonts w:ascii="Arial Narrow" w:hAnsi="Arial Narrow"/>
                <w:sz w:val="22"/>
                <w:szCs w:val="22"/>
              </w:rPr>
              <w:t xml:space="preserve"> Institut – Faculté de Droit et des Sciences Politiques de Tunis.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Conférencière aux colloques Internationaux organisés au Caire-Liban-Italie-Tunisie dans les champs de compétences ci-haut indiqués.</w:t>
            </w:r>
          </w:p>
          <w:p w:rsidR="005C6455" w:rsidRPr="005C6455" w:rsidRDefault="005C6455" w:rsidP="00107442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 xml:space="preserve">Participation au Cours d’été sur l’application des conventions Internationales relatives aux Droits de l’Homme dans les législations nationales –Organisé par Raoul </w:t>
            </w:r>
            <w:proofErr w:type="spellStart"/>
            <w:r w:rsidRPr="005C6455">
              <w:rPr>
                <w:rFonts w:ascii="Arial Narrow" w:hAnsi="Arial Narrow"/>
                <w:sz w:val="22"/>
                <w:szCs w:val="22"/>
              </w:rPr>
              <w:t>Wellenberg</w:t>
            </w:r>
            <w:proofErr w:type="spellEnd"/>
            <w:r w:rsidRPr="005C6455">
              <w:rPr>
                <w:rFonts w:ascii="Arial Narrow" w:hAnsi="Arial Narrow"/>
                <w:sz w:val="22"/>
                <w:szCs w:val="22"/>
              </w:rPr>
              <w:t xml:space="preserve"> Institut et L’université Arabe de Beyrouth-Liban-Aout 2016.(Cours dispensé : Pacte </w:t>
            </w:r>
            <w:r w:rsidRPr="005C6455">
              <w:rPr>
                <w:rFonts w:ascii="Arial Narrow" w:hAnsi="Arial Narrow"/>
                <w:sz w:val="22"/>
                <w:szCs w:val="22"/>
              </w:rPr>
              <w:tab/>
              <w:t>International relatif aux droits économiques sociaux et culturels).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Membre du comité éditorial de la revue mensuelle info juridique – Tunisie (</w:t>
            </w:r>
            <w:hyperlink r:id="rId13" w:history="1">
              <w:r w:rsidRPr="005C6455">
                <w:rPr>
                  <w:rFonts w:ascii="Arial Narrow" w:hAnsi="Arial Narrow"/>
                  <w:sz w:val="22"/>
                  <w:szCs w:val="22"/>
                </w:rPr>
                <w:t>http://www.infosjuridiques.com.tn/redaction.php</w:t>
              </w:r>
            </w:hyperlink>
            <w:r w:rsidRPr="005C6455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Membre du comité scientifique de la revue électronique ADAPT (</w:t>
            </w:r>
            <w:hyperlink r:id="rId14" w:history="1">
              <w:r w:rsidRPr="005C6455">
                <w:rPr>
                  <w:rFonts w:ascii="Arial Narrow" w:hAnsi="Arial Narrow"/>
                  <w:sz w:val="22"/>
                  <w:szCs w:val="22"/>
                </w:rPr>
                <w:t>http://ejcls.adapt.it/index.php/ejcls_adapt/about/editorialTeam</w:t>
              </w:r>
            </w:hyperlink>
            <w:r w:rsidRPr="005C6455">
              <w:rPr>
                <w:rFonts w:ascii="Arial Narrow" w:hAnsi="Arial Narrow"/>
                <w:sz w:val="22"/>
                <w:szCs w:val="22"/>
              </w:rPr>
              <w:t>).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Ex membre du conseil scientifique du centre de conciliation et d’arbitrage de Tunis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Membre de l’Union Internationale des Avocats.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198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Membre du laboratoire Droit des Relations Internationales des Marchés et des Négociations- Faculté de Droit et des Sciences</w:t>
            </w:r>
          </w:p>
          <w:p w:rsidR="005C6455" w:rsidRPr="005C6455" w:rsidRDefault="005C6455" w:rsidP="00B0784D">
            <w:pPr>
              <w:pStyle w:val="Paragraphedeliste"/>
              <w:numPr>
                <w:ilvl w:val="2"/>
                <w:numId w:val="13"/>
              </w:numPr>
              <w:tabs>
                <w:tab w:val="left" w:pos="341"/>
              </w:tabs>
              <w:spacing w:before="240" w:after="240"/>
              <w:ind w:left="200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Politiques de Tunis (unité de recherche sur le commerce électronique).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200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Membre de l’observatoire  Arabe Régional de la législation et de l’organisation de  la sécurité cybernétique- LIBAN (Beyrouth).</w:t>
            </w:r>
          </w:p>
          <w:p w:rsidR="005C6455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200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 xml:space="preserve">Représentante de l’Association Internationale de Lutte  contre la    Cybercriminalité (AILCC) pour la Tunisie. (Voir le site : </w:t>
            </w:r>
            <w:hyperlink r:id="rId15" w:history="1">
              <w:r w:rsidRPr="005C6455">
                <w:rPr>
                  <w:rFonts w:ascii="Arial Narrow" w:hAnsi="Arial Narrow"/>
                  <w:sz w:val="22"/>
                  <w:szCs w:val="22"/>
                </w:rPr>
                <w:t>www.cybercrime-fr.org</w:t>
              </w:r>
            </w:hyperlink>
            <w:r w:rsidRPr="005C6455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D302D1" w:rsidRPr="005C6455" w:rsidRDefault="005C6455" w:rsidP="00B0784D">
            <w:pPr>
              <w:pStyle w:val="Paragraphedeliste"/>
              <w:numPr>
                <w:ilvl w:val="0"/>
                <w:numId w:val="13"/>
              </w:numPr>
              <w:tabs>
                <w:tab w:val="left" w:pos="341"/>
              </w:tabs>
              <w:spacing w:before="240" w:after="240"/>
              <w:ind w:left="200" w:firstLine="0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5C6455">
              <w:rPr>
                <w:rFonts w:ascii="Arial Narrow" w:hAnsi="Arial Narrow"/>
                <w:sz w:val="22"/>
                <w:szCs w:val="22"/>
              </w:rPr>
              <w:t>Membre de l’Association Tunisienne du Droit de Développement (ATDD- IDLO</w:t>
            </w:r>
            <w:proofErr w:type="gramStart"/>
            <w:r w:rsidRPr="005C6455">
              <w:rPr>
                <w:rFonts w:ascii="Arial Narrow" w:hAnsi="Arial Narrow"/>
                <w:sz w:val="22"/>
                <w:szCs w:val="22"/>
              </w:rPr>
              <w:t>)</w:t>
            </w:r>
            <w:proofErr w:type="gramEnd"/>
            <w:hyperlink r:id="rId16" w:history="1">
              <w:r w:rsidRPr="005C6455">
                <w:rPr>
                  <w:rFonts w:ascii="Arial Narrow" w:hAnsi="Arial Narrow"/>
                  <w:sz w:val="22"/>
                  <w:szCs w:val="22"/>
                </w:rPr>
                <w:t>www.atdd2004.org.tn</w:t>
              </w:r>
            </w:hyperlink>
          </w:p>
        </w:tc>
      </w:tr>
      <w:tr w:rsidR="00B0784D" w:rsidRPr="00426592" w:rsidTr="00C55C85">
        <w:trPr>
          <w:cantSplit/>
        </w:trPr>
        <w:tc>
          <w:tcPr>
            <w:tcW w:w="3628" w:type="dxa"/>
            <w:gridSpan w:val="2"/>
            <w:tcBorders>
              <w:top w:val="dashSmallGap" w:sz="4" w:space="0" w:color="1F497D" w:themeColor="text2"/>
              <w:bottom w:val="dashSmallGap" w:sz="4" w:space="0" w:color="1F497D" w:themeColor="text2"/>
              <w:right w:val="single" w:sz="2" w:space="0" w:color="000000"/>
            </w:tcBorders>
          </w:tcPr>
          <w:p w:rsidR="00B0784D" w:rsidRPr="00CA63C4" w:rsidRDefault="00B0784D" w:rsidP="00C55C85">
            <w:pPr>
              <w:pStyle w:val="CVHeading3"/>
              <w:spacing w:before="120"/>
            </w:pPr>
            <w:r w:rsidRPr="00CA63C4">
              <w:rPr>
                <w:rFonts w:cstheme="majorBidi"/>
                <w:b/>
                <w:sz w:val="28"/>
                <w:szCs w:val="28"/>
              </w:rPr>
              <w:lastRenderedPageBreak/>
              <w:t>Ouvrages</w:t>
            </w:r>
            <w:r w:rsidRPr="00CA63C4">
              <w:rPr>
                <w:rFonts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52" w:type="dxa"/>
            <w:gridSpan w:val="4"/>
            <w:tcBorders>
              <w:top w:val="dashSmallGap" w:sz="4" w:space="0" w:color="1F497D" w:themeColor="text2"/>
              <w:left w:val="single" w:sz="2" w:space="0" w:color="000000"/>
              <w:bottom w:val="dashSmallGap" w:sz="4" w:space="0" w:color="1F497D" w:themeColor="text2"/>
            </w:tcBorders>
          </w:tcPr>
          <w:p w:rsidR="00B0784D" w:rsidRPr="00CE4BBE" w:rsidRDefault="00B0784D" w:rsidP="00C55C85">
            <w:pPr>
              <w:spacing w:before="120" w:line="276" w:lineRule="auto"/>
              <w:ind w:left="198"/>
              <w:jc w:val="both"/>
              <w:rPr>
                <w:rFonts w:cstheme="minorBidi"/>
                <w:b/>
                <w:sz w:val="22"/>
                <w:szCs w:val="22"/>
                <w:u w:val="single"/>
              </w:rPr>
            </w:pPr>
            <w:r w:rsidRPr="00CE4BBE">
              <w:rPr>
                <w:rFonts w:cstheme="minorBidi"/>
                <w:b/>
                <w:sz w:val="22"/>
                <w:szCs w:val="22"/>
                <w:u w:val="single"/>
              </w:rPr>
              <w:t>Individuels</w:t>
            </w:r>
          </w:p>
          <w:p w:rsidR="00B0784D" w:rsidRPr="00B04BD5" w:rsidRDefault="00B0784D" w:rsidP="00C55C85">
            <w:pPr>
              <w:spacing w:line="276" w:lineRule="auto"/>
              <w:jc w:val="both"/>
              <w:rPr>
                <w:rFonts w:cstheme="minorBidi"/>
                <w:b/>
                <w:sz w:val="8"/>
                <w:szCs w:val="8"/>
                <w:u w:val="single"/>
              </w:rPr>
            </w:pPr>
          </w:p>
          <w:p w:rsidR="00B0784D" w:rsidRPr="00CE4BBE" w:rsidRDefault="00B0784D" w:rsidP="00C55C85">
            <w:pPr>
              <w:pStyle w:val="Paragraphedeliste"/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spacing w:line="276" w:lineRule="auto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CE4BBE">
              <w:rPr>
                <w:rFonts w:ascii="Arial Narrow" w:hAnsi="Arial Narrow" w:cstheme="minorBidi"/>
                <w:bCs/>
                <w:sz w:val="22"/>
                <w:szCs w:val="22"/>
              </w:rPr>
              <w:t>L’exclusion d’un associé dans les sociétés commerciales- A la lumière de la modification du code des sociétés commerciales par la loi du 16 mars 2009-édition Maison du livre 2013.</w:t>
            </w:r>
          </w:p>
          <w:p w:rsidR="00B0784D" w:rsidRPr="00CE4BBE" w:rsidRDefault="00B0784D" w:rsidP="00C55C85">
            <w:pPr>
              <w:spacing w:line="276" w:lineRule="auto"/>
              <w:jc w:val="both"/>
              <w:rPr>
                <w:rFonts w:cstheme="minorBidi"/>
                <w:bCs/>
                <w:sz w:val="22"/>
                <w:szCs w:val="22"/>
              </w:rPr>
            </w:pPr>
          </w:p>
          <w:p w:rsidR="00B0784D" w:rsidRPr="00CE4BBE" w:rsidRDefault="00B0784D" w:rsidP="00C55C85">
            <w:pPr>
              <w:pStyle w:val="Paragraphedeliste"/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spacing w:line="276" w:lineRule="auto"/>
              <w:jc w:val="both"/>
              <w:rPr>
                <w:rFonts w:ascii="Arial Narrow" w:hAnsi="Arial Narrow" w:cstheme="minorBidi"/>
                <w:bCs/>
                <w:sz w:val="22"/>
                <w:szCs w:val="22"/>
                <w:lang w:bidi="ar-TN"/>
              </w:rPr>
            </w:pPr>
            <w:r w:rsidRPr="00CE4BBE">
              <w:rPr>
                <w:rFonts w:ascii="Arial Narrow" w:hAnsi="Arial Narrow" w:cstheme="minorBidi"/>
                <w:bCs/>
                <w:sz w:val="22"/>
                <w:szCs w:val="22"/>
                <w:lang w:bidi="ar-TN"/>
              </w:rPr>
              <w:t xml:space="preserve">Manuel de Droit commercial </w:t>
            </w:r>
            <w:r w:rsidRPr="00CE4BBE">
              <w:rPr>
                <w:rFonts w:ascii="Arial Narrow" w:hAnsi="Arial Narrow" w:cstheme="minorBidi"/>
                <w:bCs/>
                <w:sz w:val="22"/>
                <w:szCs w:val="22"/>
                <w:rtl/>
                <w:lang w:bidi="ar-TN"/>
              </w:rPr>
              <w:t>:</w:t>
            </w:r>
            <w:r w:rsidRPr="00CE4BBE">
              <w:rPr>
                <w:rFonts w:ascii="Arial Narrow" w:hAnsi="Arial Narrow" w:cstheme="minorBidi"/>
                <w:bCs/>
                <w:sz w:val="22"/>
                <w:szCs w:val="22"/>
                <w:lang w:bidi="ar-TN"/>
              </w:rPr>
              <w:t xml:space="preserve"> Actes de Commerce-Commerçants-Fonds de commerce  Baux commerciaux- Maison du livre 2015.</w:t>
            </w:r>
          </w:p>
          <w:p w:rsidR="00B0784D" w:rsidRPr="00CE4BBE" w:rsidRDefault="00B0784D" w:rsidP="00C55C85">
            <w:pPr>
              <w:spacing w:line="276" w:lineRule="auto"/>
              <w:jc w:val="both"/>
              <w:rPr>
                <w:rFonts w:cstheme="minorBidi"/>
                <w:bCs/>
                <w:sz w:val="22"/>
                <w:szCs w:val="22"/>
              </w:rPr>
            </w:pPr>
          </w:p>
          <w:p w:rsidR="00B0784D" w:rsidRPr="00CE4BBE" w:rsidRDefault="00B0784D" w:rsidP="00C55C85">
            <w:pPr>
              <w:spacing w:line="276" w:lineRule="auto"/>
              <w:ind w:left="200"/>
              <w:jc w:val="both"/>
              <w:rPr>
                <w:rFonts w:cstheme="minorBidi"/>
                <w:b/>
                <w:sz w:val="22"/>
                <w:szCs w:val="22"/>
                <w:u w:val="single"/>
              </w:rPr>
            </w:pPr>
            <w:r w:rsidRPr="00CE4BBE">
              <w:rPr>
                <w:rFonts w:cstheme="minorBidi"/>
                <w:b/>
                <w:sz w:val="22"/>
                <w:szCs w:val="22"/>
                <w:u w:val="single"/>
              </w:rPr>
              <w:t>Collectifs</w:t>
            </w:r>
          </w:p>
          <w:p w:rsidR="00B0784D" w:rsidRPr="00B04BD5" w:rsidRDefault="00B0784D" w:rsidP="00C55C85">
            <w:pPr>
              <w:spacing w:line="276" w:lineRule="auto"/>
              <w:jc w:val="both"/>
              <w:rPr>
                <w:rFonts w:cstheme="minorBidi"/>
                <w:b/>
                <w:sz w:val="12"/>
                <w:szCs w:val="12"/>
                <w:u w:val="single"/>
              </w:rPr>
            </w:pPr>
          </w:p>
          <w:p w:rsidR="00B0784D" w:rsidRPr="00CE4BBE" w:rsidRDefault="00B0784D" w:rsidP="00C55C85">
            <w:pPr>
              <w:pStyle w:val="Paragraphedeliste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spacing w:line="276" w:lineRule="auto"/>
              <w:jc w:val="both"/>
              <w:rPr>
                <w:rFonts w:ascii="Arial Narrow" w:hAnsi="Arial Narrow" w:cstheme="minorBidi"/>
                <w:bCs/>
                <w:sz w:val="22"/>
                <w:szCs w:val="22"/>
              </w:rPr>
            </w:pPr>
            <w:r w:rsidRPr="00CE4BBE">
              <w:rPr>
                <w:rFonts w:ascii="Arial Narrow" w:hAnsi="Arial Narrow" w:cstheme="minorBidi"/>
                <w:bCs/>
                <w:sz w:val="22"/>
                <w:szCs w:val="22"/>
              </w:rPr>
              <w:t>Internet espace de liberté et source de problématiques juridiques – Ouvrage collectif-Publications DRIMAN-édition Maison du Livre 2014.</w:t>
            </w:r>
          </w:p>
          <w:p w:rsidR="00B0784D" w:rsidRPr="00CE4BBE" w:rsidRDefault="00B0784D" w:rsidP="00C55C85">
            <w:pPr>
              <w:spacing w:line="276" w:lineRule="auto"/>
              <w:jc w:val="both"/>
              <w:rPr>
                <w:rFonts w:cstheme="minorBidi"/>
                <w:bCs/>
                <w:sz w:val="22"/>
                <w:szCs w:val="22"/>
              </w:rPr>
            </w:pPr>
          </w:p>
          <w:p w:rsidR="00B0784D" w:rsidRPr="00426592" w:rsidRDefault="00B0784D" w:rsidP="00C55C85">
            <w:pPr>
              <w:pStyle w:val="Paragraphedeliste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spacing w:after="120" w:line="276" w:lineRule="auto"/>
              <w:ind w:left="714" w:hanging="357"/>
              <w:jc w:val="both"/>
            </w:pPr>
            <w:r w:rsidRPr="00CE4BBE">
              <w:rPr>
                <w:rFonts w:ascii="Arial Narrow" w:hAnsi="Arial Narrow" w:cstheme="minorBidi"/>
                <w:bCs/>
                <w:sz w:val="22"/>
                <w:szCs w:val="22"/>
              </w:rPr>
              <w:t>Concurrence, Distribution et commerce électronique, Ouvrage collectif - Publications DRIMAN-édition Maison du Livre 2015</w:t>
            </w:r>
          </w:p>
        </w:tc>
      </w:tr>
      <w:tr w:rsidR="00B0784D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B0784D" w:rsidRPr="00426592" w:rsidRDefault="00B0784D">
            <w:pPr>
              <w:pStyle w:val="CVHeading1"/>
              <w:spacing w:before="0"/>
              <w:rPr>
                <w:sz w:val="28"/>
                <w:szCs w:val="22"/>
              </w:rPr>
            </w:pPr>
          </w:p>
        </w:tc>
        <w:tc>
          <w:tcPr>
            <w:tcW w:w="7152" w:type="dxa"/>
            <w:gridSpan w:val="4"/>
          </w:tcPr>
          <w:p w:rsidR="00B0784D" w:rsidRPr="00426592" w:rsidRDefault="00B0784D">
            <w:pPr>
              <w:pStyle w:val="CVSpacer"/>
            </w:pPr>
          </w:p>
        </w:tc>
      </w:tr>
      <w:tr w:rsidR="00D302D1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302D1" w:rsidRPr="00426592" w:rsidRDefault="00B0784D">
            <w:pPr>
              <w:pStyle w:val="CVHeading1"/>
              <w:spacing w:before="0"/>
            </w:pPr>
            <w:r>
              <w:rPr>
                <w:sz w:val="28"/>
                <w:szCs w:val="22"/>
              </w:rPr>
              <w:t>Langue</w:t>
            </w:r>
          </w:p>
        </w:tc>
        <w:tc>
          <w:tcPr>
            <w:tcW w:w="7152" w:type="dxa"/>
            <w:gridSpan w:val="4"/>
          </w:tcPr>
          <w:p w:rsidR="00D302D1" w:rsidRPr="00426592" w:rsidRDefault="00D302D1">
            <w:pPr>
              <w:pStyle w:val="CVSpacer"/>
            </w:pPr>
          </w:p>
        </w:tc>
      </w:tr>
      <w:tr w:rsidR="00D302D1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302D1" w:rsidRPr="00426592" w:rsidRDefault="00D302D1">
            <w:pPr>
              <w:pStyle w:val="CVHeading2-FirstLine"/>
              <w:spacing w:before="0"/>
              <w:rPr>
                <w:sz w:val="20"/>
              </w:rPr>
            </w:pPr>
            <w:r w:rsidRPr="00426592">
              <w:rPr>
                <w:sz w:val="20"/>
              </w:rPr>
              <w:t>Langue  maternelle</w:t>
            </w:r>
          </w:p>
        </w:tc>
        <w:tc>
          <w:tcPr>
            <w:tcW w:w="7152" w:type="dxa"/>
            <w:gridSpan w:val="4"/>
          </w:tcPr>
          <w:p w:rsidR="00D302D1" w:rsidRPr="00936CB0" w:rsidRDefault="00D302D1">
            <w:pPr>
              <w:pStyle w:val="CVSpacer"/>
              <w:rPr>
                <w:i/>
                <w:iCs/>
                <w:sz w:val="20"/>
              </w:rPr>
            </w:pPr>
            <w:r w:rsidRPr="00936CB0">
              <w:rPr>
                <w:i/>
                <w:iCs/>
                <w:sz w:val="22"/>
                <w:szCs w:val="22"/>
              </w:rPr>
              <w:t>Arabe</w:t>
            </w:r>
          </w:p>
        </w:tc>
      </w:tr>
      <w:tr w:rsidR="00D302D1" w:rsidRPr="00426592" w:rsidTr="00E527CC">
        <w:trPr>
          <w:cantSplit/>
          <w:trHeight w:val="641"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302D1" w:rsidRPr="00426592" w:rsidRDefault="00D302D1">
            <w:pPr>
              <w:pStyle w:val="CVHeading2-FirstLine"/>
              <w:spacing w:before="0"/>
              <w:rPr>
                <w:sz w:val="20"/>
              </w:rPr>
            </w:pPr>
            <w:r w:rsidRPr="00426592">
              <w:rPr>
                <w:sz w:val="20"/>
              </w:rPr>
              <w:t>Autre(s) langue(s)</w:t>
            </w:r>
          </w:p>
        </w:tc>
        <w:tc>
          <w:tcPr>
            <w:tcW w:w="135" w:type="dxa"/>
            <w:tcBorders>
              <w:right w:val="single" w:sz="6" w:space="0" w:color="000000"/>
            </w:tcBorders>
          </w:tcPr>
          <w:p w:rsidR="00D302D1" w:rsidRPr="00426592" w:rsidRDefault="00D302D1" w:rsidP="0072322B">
            <w:pPr>
              <w:pStyle w:val="CVNormal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426592" w:rsidRDefault="00D302D1" w:rsidP="004B4296">
            <w:pPr>
              <w:pStyle w:val="LevelAssessment-Heading1"/>
              <w:rPr>
                <w:sz w:val="20"/>
              </w:rPr>
            </w:pPr>
            <w:r w:rsidRPr="00426592">
              <w:rPr>
                <w:sz w:val="20"/>
              </w:rPr>
              <w:t>Comprendre</w:t>
            </w:r>
          </w:p>
          <w:p w:rsidR="00D302D1" w:rsidRPr="00426592" w:rsidRDefault="00D302D1" w:rsidP="004B4296">
            <w:pPr>
              <w:pStyle w:val="LevelAssessment-Heading1"/>
              <w:rPr>
                <w:b w:val="0"/>
                <w:bCs/>
                <w:sz w:val="20"/>
              </w:rPr>
            </w:pPr>
            <w:r w:rsidRPr="00426592">
              <w:rPr>
                <w:b w:val="0"/>
                <w:bCs/>
                <w:sz w:val="20"/>
              </w:rPr>
              <w:t>(Ecouter – lire)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426592" w:rsidRDefault="00D302D1" w:rsidP="004B4296">
            <w:pPr>
              <w:pStyle w:val="LevelAssessment-Heading1"/>
              <w:rPr>
                <w:sz w:val="20"/>
              </w:rPr>
            </w:pPr>
            <w:r w:rsidRPr="00426592">
              <w:rPr>
                <w:sz w:val="20"/>
              </w:rPr>
              <w:t>Parler</w:t>
            </w:r>
          </w:p>
          <w:p w:rsidR="00D302D1" w:rsidRPr="00426592" w:rsidRDefault="00D302D1" w:rsidP="004B4296">
            <w:pPr>
              <w:pStyle w:val="LevelAssessment-Heading1"/>
              <w:rPr>
                <w:b w:val="0"/>
                <w:bCs/>
                <w:sz w:val="20"/>
              </w:rPr>
            </w:pPr>
            <w:r w:rsidRPr="00426592">
              <w:rPr>
                <w:b w:val="0"/>
                <w:bCs/>
                <w:sz w:val="20"/>
              </w:rPr>
              <w:t>(s’exprimer oralement en continu)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426592" w:rsidRDefault="00D302D1" w:rsidP="004B4296">
            <w:pPr>
              <w:pStyle w:val="LevelAssessment-Heading1"/>
              <w:rPr>
                <w:sz w:val="20"/>
              </w:rPr>
            </w:pPr>
            <w:r w:rsidRPr="00426592">
              <w:rPr>
                <w:sz w:val="20"/>
              </w:rPr>
              <w:t>Ecrire</w:t>
            </w:r>
          </w:p>
          <w:p w:rsidR="00D302D1" w:rsidRPr="00426592" w:rsidRDefault="00D302D1" w:rsidP="004B4296">
            <w:pPr>
              <w:pStyle w:val="LevelAssessment-Heading1"/>
              <w:rPr>
                <w:b w:val="0"/>
                <w:bCs/>
                <w:sz w:val="20"/>
              </w:rPr>
            </w:pPr>
            <w:r w:rsidRPr="00426592">
              <w:rPr>
                <w:b w:val="0"/>
                <w:bCs/>
                <w:sz w:val="20"/>
              </w:rPr>
              <w:t>(rédiger sans assistance)</w:t>
            </w:r>
          </w:p>
        </w:tc>
      </w:tr>
      <w:tr w:rsidR="00D302D1" w:rsidRPr="00426592" w:rsidTr="00E527CC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302D1" w:rsidRPr="00426592" w:rsidRDefault="00D302D1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</w:tcPr>
          <w:p w:rsidR="00D302D1" w:rsidRPr="00426592" w:rsidRDefault="00D302D1" w:rsidP="0072322B">
            <w:pPr>
              <w:pStyle w:val="CVNormal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936CB0" w:rsidRDefault="00D302D1" w:rsidP="004B4296">
            <w:pPr>
              <w:pStyle w:val="LevelAssessment-Heading1"/>
              <w:rPr>
                <w:b w:val="0"/>
                <w:bCs/>
                <w:i/>
                <w:iCs/>
                <w:sz w:val="20"/>
              </w:rPr>
            </w:pPr>
            <w:r w:rsidRPr="00936CB0">
              <w:rPr>
                <w:b w:val="0"/>
                <w:bCs/>
                <w:i/>
                <w:iCs/>
                <w:sz w:val="20"/>
              </w:rPr>
              <w:t>Français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936CB0" w:rsidRDefault="00D302D1" w:rsidP="004B4296">
            <w:pPr>
              <w:pStyle w:val="LevelAssessment-Heading1"/>
              <w:rPr>
                <w:b w:val="0"/>
                <w:bCs/>
                <w:i/>
                <w:iCs/>
                <w:sz w:val="20"/>
              </w:rPr>
            </w:pPr>
            <w:r w:rsidRPr="00936CB0">
              <w:rPr>
                <w:b w:val="0"/>
                <w:bCs/>
                <w:i/>
                <w:iCs/>
                <w:sz w:val="20"/>
              </w:rPr>
              <w:t>Français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936CB0" w:rsidRDefault="00D302D1" w:rsidP="0010504E">
            <w:pPr>
              <w:pStyle w:val="LevelAssessment-Heading1"/>
              <w:rPr>
                <w:b w:val="0"/>
                <w:bCs/>
                <w:i/>
                <w:iCs/>
                <w:sz w:val="20"/>
              </w:rPr>
            </w:pPr>
            <w:r w:rsidRPr="00936CB0">
              <w:rPr>
                <w:b w:val="0"/>
                <w:bCs/>
                <w:i/>
                <w:iCs/>
                <w:sz w:val="20"/>
              </w:rPr>
              <w:t>Français</w:t>
            </w:r>
          </w:p>
        </w:tc>
      </w:tr>
      <w:tr w:rsidR="00D302D1" w:rsidRPr="00426592" w:rsidTr="00E527CC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302D1" w:rsidRPr="00426592" w:rsidRDefault="00D302D1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</w:tcPr>
          <w:p w:rsidR="00D302D1" w:rsidRPr="00426592" w:rsidRDefault="00D302D1" w:rsidP="0072322B">
            <w:pPr>
              <w:pStyle w:val="CVNormal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936CB0" w:rsidRDefault="00D302D1" w:rsidP="004B4296">
            <w:pPr>
              <w:pStyle w:val="LevelAssessment-Heading1"/>
              <w:rPr>
                <w:b w:val="0"/>
                <w:bCs/>
                <w:i/>
                <w:iCs/>
                <w:sz w:val="20"/>
              </w:rPr>
            </w:pPr>
            <w:r w:rsidRPr="00936CB0">
              <w:rPr>
                <w:b w:val="0"/>
                <w:bCs/>
                <w:i/>
                <w:iCs/>
                <w:sz w:val="20"/>
              </w:rPr>
              <w:t>Anglais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936CB0" w:rsidRDefault="00D302D1" w:rsidP="004B4296">
            <w:pPr>
              <w:pStyle w:val="LevelAssessment-Heading1"/>
              <w:rPr>
                <w:b w:val="0"/>
                <w:bCs/>
                <w:i/>
                <w:iCs/>
                <w:sz w:val="20"/>
              </w:rPr>
            </w:pPr>
            <w:r w:rsidRPr="00936CB0">
              <w:rPr>
                <w:b w:val="0"/>
                <w:bCs/>
                <w:i/>
                <w:iCs/>
                <w:sz w:val="20"/>
              </w:rPr>
              <w:t>Anglais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2D1" w:rsidRPr="00936CB0" w:rsidRDefault="00D302D1" w:rsidP="0010504E">
            <w:pPr>
              <w:pStyle w:val="LevelAssessment-Heading1"/>
              <w:rPr>
                <w:b w:val="0"/>
                <w:bCs/>
                <w:i/>
                <w:iCs/>
                <w:sz w:val="20"/>
              </w:rPr>
            </w:pPr>
            <w:r w:rsidRPr="00936CB0">
              <w:rPr>
                <w:b w:val="0"/>
                <w:bCs/>
                <w:i/>
                <w:iCs/>
                <w:sz w:val="20"/>
              </w:rPr>
              <w:t>Anglais</w:t>
            </w:r>
          </w:p>
        </w:tc>
      </w:tr>
      <w:tr w:rsidR="00D302D1" w:rsidRPr="00426592" w:rsidTr="0091744A">
        <w:trPr>
          <w:cantSplit/>
        </w:trPr>
        <w:tc>
          <w:tcPr>
            <w:tcW w:w="3628" w:type="dxa"/>
            <w:gridSpan w:val="2"/>
            <w:tcBorders>
              <w:right w:val="single" w:sz="1" w:space="0" w:color="000000"/>
            </w:tcBorders>
          </w:tcPr>
          <w:p w:rsidR="00D302D1" w:rsidRPr="00426592" w:rsidRDefault="00D302D1">
            <w:pPr>
              <w:pStyle w:val="CVNormal"/>
            </w:pPr>
          </w:p>
        </w:tc>
        <w:tc>
          <w:tcPr>
            <w:tcW w:w="7152" w:type="dxa"/>
            <w:gridSpan w:val="4"/>
            <w:tcMar>
              <w:top w:w="0" w:type="dxa"/>
              <w:bottom w:w="113" w:type="dxa"/>
            </w:tcMar>
          </w:tcPr>
          <w:p w:rsidR="00D302D1" w:rsidRPr="00426592" w:rsidRDefault="00D302D1">
            <w:pPr>
              <w:pStyle w:val="LevelAssessment-Note"/>
            </w:pPr>
          </w:p>
        </w:tc>
      </w:tr>
    </w:tbl>
    <w:p w:rsidR="00FE6C2D" w:rsidRDefault="00FE6C2D" w:rsidP="00D62AD1">
      <w:pPr>
        <w:pStyle w:val="CVNormal"/>
        <w:ind w:left="0"/>
      </w:pPr>
    </w:p>
    <w:sectPr w:rsidR="00FE6C2D" w:rsidSect="004318C9">
      <w:footerReference w:type="default" r:id="rId1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1B0" w:rsidRDefault="008171B0" w:rsidP="00FE6C2D">
      <w:r>
        <w:separator/>
      </w:r>
    </w:p>
  </w:endnote>
  <w:endnote w:type="continuationSeparator" w:id="0">
    <w:p w:rsidR="008171B0" w:rsidRDefault="008171B0" w:rsidP="00FE6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vant Garde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E6C2D">
      <w:trPr>
        <w:cantSplit/>
      </w:trPr>
      <w:tc>
        <w:tcPr>
          <w:tcW w:w="3117" w:type="dxa"/>
        </w:tcPr>
        <w:p w:rsidR="00FE6C2D" w:rsidRDefault="00FE6C2D" w:rsidP="00381305">
          <w:pPr>
            <w:pStyle w:val="CVFooterLeft"/>
          </w:pPr>
          <w:r>
            <w:t xml:space="preserve">Page </w:t>
          </w:r>
          <w:r w:rsidR="00A44571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A44571">
            <w:rPr>
              <w:shd w:val="clear" w:color="auto" w:fill="FFFFFF"/>
            </w:rPr>
            <w:fldChar w:fldCharType="separate"/>
          </w:r>
          <w:r w:rsidR="00671CBB">
            <w:rPr>
              <w:noProof/>
              <w:shd w:val="clear" w:color="auto" w:fill="FFFFFF"/>
            </w:rPr>
            <w:t>5</w:t>
          </w:r>
          <w:r w:rsidR="00A44571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B0784D">
            <w:rPr>
              <w:shd w:val="clear" w:color="auto" w:fill="FFFFFF"/>
            </w:rPr>
            <w:t>6</w:t>
          </w:r>
          <w:r>
            <w:rPr>
              <w:shd w:val="clear" w:color="auto" w:fill="FFFFFF"/>
            </w:rPr>
            <w:t xml:space="preserve"> -</w:t>
          </w:r>
          <w:r>
            <w:t xml:space="preserve"> Curriculum vitae de </w:t>
          </w:r>
        </w:p>
        <w:p w:rsidR="00FE6C2D" w:rsidRDefault="000F457D" w:rsidP="002D5F26">
          <w:pPr>
            <w:pStyle w:val="CVFooterLeft"/>
          </w:pPr>
          <w:r>
            <w:t>Salma SLAMA</w:t>
          </w:r>
          <w:r w:rsidR="003C759F"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E6C2D" w:rsidRDefault="000F457D" w:rsidP="002376D6">
          <w:pPr>
            <w:pStyle w:val="CVFooterRight"/>
          </w:pPr>
          <w:proofErr w:type="spellStart"/>
          <w:r>
            <w:t>Septembre</w:t>
          </w:r>
          <w:proofErr w:type="spellEnd"/>
          <w:r>
            <w:t xml:space="preserve"> 2017</w:t>
          </w:r>
        </w:p>
      </w:tc>
    </w:tr>
  </w:tbl>
  <w:p w:rsidR="00FE6C2D" w:rsidRDefault="00FE6C2D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1B0" w:rsidRDefault="008171B0" w:rsidP="00FE6C2D">
      <w:r>
        <w:separator/>
      </w:r>
    </w:p>
  </w:footnote>
  <w:footnote w:type="continuationSeparator" w:id="0">
    <w:p w:rsidR="008171B0" w:rsidRDefault="008171B0" w:rsidP="00FE6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B22"/>
    <w:multiLevelType w:val="hybridMultilevel"/>
    <w:tmpl w:val="C4CC484E"/>
    <w:lvl w:ilvl="0" w:tplc="33189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DA3"/>
    <w:multiLevelType w:val="hybridMultilevel"/>
    <w:tmpl w:val="982C710C"/>
    <w:lvl w:ilvl="0" w:tplc="0A3CEF22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C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1CE36A2E"/>
    <w:multiLevelType w:val="hybridMultilevel"/>
    <w:tmpl w:val="5C8E439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85B87"/>
    <w:multiLevelType w:val="hybridMultilevel"/>
    <w:tmpl w:val="0FA0BC50"/>
    <w:lvl w:ilvl="0" w:tplc="0A3CEF22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A233581"/>
    <w:multiLevelType w:val="hybridMultilevel"/>
    <w:tmpl w:val="9D042AE2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3F7C48A2"/>
    <w:multiLevelType w:val="hybridMultilevel"/>
    <w:tmpl w:val="1302AF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C0D1E"/>
    <w:multiLevelType w:val="hybridMultilevel"/>
    <w:tmpl w:val="F324611A"/>
    <w:lvl w:ilvl="0" w:tplc="040C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41DF5505"/>
    <w:multiLevelType w:val="hybridMultilevel"/>
    <w:tmpl w:val="B65C91D8"/>
    <w:lvl w:ilvl="0" w:tplc="783ABBB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8791A"/>
    <w:multiLevelType w:val="hybridMultilevel"/>
    <w:tmpl w:val="66BEE7F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518E7015"/>
    <w:multiLevelType w:val="hybridMultilevel"/>
    <w:tmpl w:val="2D3EF95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E539E9"/>
    <w:multiLevelType w:val="hybridMultilevel"/>
    <w:tmpl w:val="A46EB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06564"/>
    <w:multiLevelType w:val="hybridMultilevel"/>
    <w:tmpl w:val="3B34B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33DA2"/>
    <w:multiLevelType w:val="hybridMultilevel"/>
    <w:tmpl w:val="828E280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966A5"/>
    <w:rsid w:val="000036EF"/>
    <w:rsid w:val="0001238A"/>
    <w:rsid w:val="00036866"/>
    <w:rsid w:val="000437BF"/>
    <w:rsid w:val="000619EC"/>
    <w:rsid w:val="00067BE9"/>
    <w:rsid w:val="00077B26"/>
    <w:rsid w:val="00083618"/>
    <w:rsid w:val="000A63ED"/>
    <w:rsid w:val="000E628F"/>
    <w:rsid w:val="000F17A5"/>
    <w:rsid w:val="000F457D"/>
    <w:rsid w:val="000F55A3"/>
    <w:rsid w:val="00100748"/>
    <w:rsid w:val="0010504E"/>
    <w:rsid w:val="00107442"/>
    <w:rsid w:val="00113750"/>
    <w:rsid w:val="00115F98"/>
    <w:rsid w:val="001423CA"/>
    <w:rsid w:val="00155C22"/>
    <w:rsid w:val="00162736"/>
    <w:rsid w:val="00167CB3"/>
    <w:rsid w:val="00177BD4"/>
    <w:rsid w:val="001A2DF8"/>
    <w:rsid w:val="001E1701"/>
    <w:rsid w:val="001F41F9"/>
    <w:rsid w:val="002202D0"/>
    <w:rsid w:val="00227DBF"/>
    <w:rsid w:val="002376D6"/>
    <w:rsid w:val="00237938"/>
    <w:rsid w:val="00255A7C"/>
    <w:rsid w:val="00263476"/>
    <w:rsid w:val="00281162"/>
    <w:rsid w:val="00281C58"/>
    <w:rsid w:val="00296E56"/>
    <w:rsid w:val="002D5F26"/>
    <w:rsid w:val="002D68F4"/>
    <w:rsid w:val="0031388F"/>
    <w:rsid w:val="00346A79"/>
    <w:rsid w:val="00381305"/>
    <w:rsid w:val="003828B9"/>
    <w:rsid w:val="0038406D"/>
    <w:rsid w:val="00393988"/>
    <w:rsid w:val="00394EF0"/>
    <w:rsid w:val="003A079D"/>
    <w:rsid w:val="003B2BB8"/>
    <w:rsid w:val="003C759F"/>
    <w:rsid w:val="003F4CB3"/>
    <w:rsid w:val="00416A0C"/>
    <w:rsid w:val="00420A0F"/>
    <w:rsid w:val="00426592"/>
    <w:rsid w:val="004318C9"/>
    <w:rsid w:val="00436904"/>
    <w:rsid w:val="00497985"/>
    <w:rsid w:val="004A147C"/>
    <w:rsid w:val="004B0FDF"/>
    <w:rsid w:val="004B4296"/>
    <w:rsid w:val="004C6FDC"/>
    <w:rsid w:val="004E0895"/>
    <w:rsid w:val="004E26EC"/>
    <w:rsid w:val="004E7B0E"/>
    <w:rsid w:val="00500355"/>
    <w:rsid w:val="00506418"/>
    <w:rsid w:val="00525105"/>
    <w:rsid w:val="005375FD"/>
    <w:rsid w:val="0055337C"/>
    <w:rsid w:val="005557D9"/>
    <w:rsid w:val="005603E5"/>
    <w:rsid w:val="005645C8"/>
    <w:rsid w:val="00572F25"/>
    <w:rsid w:val="00581128"/>
    <w:rsid w:val="005A0498"/>
    <w:rsid w:val="005C6455"/>
    <w:rsid w:val="005E525C"/>
    <w:rsid w:val="005F4083"/>
    <w:rsid w:val="00612B51"/>
    <w:rsid w:val="0061674B"/>
    <w:rsid w:val="006242E4"/>
    <w:rsid w:val="00634454"/>
    <w:rsid w:val="006420B8"/>
    <w:rsid w:val="0065408A"/>
    <w:rsid w:val="006554B9"/>
    <w:rsid w:val="0066769B"/>
    <w:rsid w:val="00671CBB"/>
    <w:rsid w:val="0069330C"/>
    <w:rsid w:val="00697974"/>
    <w:rsid w:val="006C48C7"/>
    <w:rsid w:val="006D0B14"/>
    <w:rsid w:val="006D535A"/>
    <w:rsid w:val="006E7BCF"/>
    <w:rsid w:val="006F0DA1"/>
    <w:rsid w:val="006F5919"/>
    <w:rsid w:val="00721F13"/>
    <w:rsid w:val="0072322B"/>
    <w:rsid w:val="00770C05"/>
    <w:rsid w:val="007F4898"/>
    <w:rsid w:val="008007AD"/>
    <w:rsid w:val="00802A79"/>
    <w:rsid w:val="00810D54"/>
    <w:rsid w:val="008168C5"/>
    <w:rsid w:val="00816AA7"/>
    <w:rsid w:val="008171B0"/>
    <w:rsid w:val="0082363F"/>
    <w:rsid w:val="008516C9"/>
    <w:rsid w:val="0086059F"/>
    <w:rsid w:val="00872DD0"/>
    <w:rsid w:val="008803CA"/>
    <w:rsid w:val="008A50FA"/>
    <w:rsid w:val="008B37AF"/>
    <w:rsid w:val="008C6C22"/>
    <w:rsid w:val="008C769D"/>
    <w:rsid w:val="00903A67"/>
    <w:rsid w:val="00905F39"/>
    <w:rsid w:val="0091744A"/>
    <w:rsid w:val="00925E8D"/>
    <w:rsid w:val="00936CB0"/>
    <w:rsid w:val="00956F7B"/>
    <w:rsid w:val="00967C73"/>
    <w:rsid w:val="009A0ED4"/>
    <w:rsid w:val="009A6C9C"/>
    <w:rsid w:val="009B6251"/>
    <w:rsid w:val="009B66F2"/>
    <w:rsid w:val="009C1430"/>
    <w:rsid w:val="009D358E"/>
    <w:rsid w:val="009D559A"/>
    <w:rsid w:val="009F5FF6"/>
    <w:rsid w:val="00A02F88"/>
    <w:rsid w:val="00A23C86"/>
    <w:rsid w:val="00A44571"/>
    <w:rsid w:val="00A45C42"/>
    <w:rsid w:val="00A7274E"/>
    <w:rsid w:val="00AA3CCF"/>
    <w:rsid w:val="00AB74DD"/>
    <w:rsid w:val="00AE07FA"/>
    <w:rsid w:val="00AE0926"/>
    <w:rsid w:val="00B04BD5"/>
    <w:rsid w:val="00B0784D"/>
    <w:rsid w:val="00B21D4A"/>
    <w:rsid w:val="00B44092"/>
    <w:rsid w:val="00B61099"/>
    <w:rsid w:val="00B62FDF"/>
    <w:rsid w:val="00B66286"/>
    <w:rsid w:val="00B765B7"/>
    <w:rsid w:val="00B81250"/>
    <w:rsid w:val="00BB050E"/>
    <w:rsid w:val="00BB663D"/>
    <w:rsid w:val="00BD0027"/>
    <w:rsid w:val="00C34EB9"/>
    <w:rsid w:val="00C3699C"/>
    <w:rsid w:val="00C9162E"/>
    <w:rsid w:val="00C95A63"/>
    <w:rsid w:val="00CA2C53"/>
    <w:rsid w:val="00CA63C4"/>
    <w:rsid w:val="00CD1205"/>
    <w:rsid w:val="00CE1AC0"/>
    <w:rsid w:val="00CE4BBE"/>
    <w:rsid w:val="00D064D3"/>
    <w:rsid w:val="00D302D1"/>
    <w:rsid w:val="00D3215D"/>
    <w:rsid w:val="00D40B46"/>
    <w:rsid w:val="00D51B3D"/>
    <w:rsid w:val="00D62AD1"/>
    <w:rsid w:val="00D80F74"/>
    <w:rsid w:val="00D84AD4"/>
    <w:rsid w:val="00D872EF"/>
    <w:rsid w:val="00D87C3E"/>
    <w:rsid w:val="00DA4362"/>
    <w:rsid w:val="00DB07C5"/>
    <w:rsid w:val="00DB67C6"/>
    <w:rsid w:val="00DD5547"/>
    <w:rsid w:val="00E14DD3"/>
    <w:rsid w:val="00E168C1"/>
    <w:rsid w:val="00E21C4A"/>
    <w:rsid w:val="00E3103A"/>
    <w:rsid w:val="00E32111"/>
    <w:rsid w:val="00E508C9"/>
    <w:rsid w:val="00E527CC"/>
    <w:rsid w:val="00E70B44"/>
    <w:rsid w:val="00E72F04"/>
    <w:rsid w:val="00E84028"/>
    <w:rsid w:val="00E875F3"/>
    <w:rsid w:val="00EE1DF6"/>
    <w:rsid w:val="00F15E2D"/>
    <w:rsid w:val="00F26C4E"/>
    <w:rsid w:val="00F54266"/>
    <w:rsid w:val="00F80BA4"/>
    <w:rsid w:val="00F87BC0"/>
    <w:rsid w:val="00F90EBE"/>
    <w:rsid w:val="00F94CD9"/>
    <w:rsid w:val="00F966A5"/>
    <w:rsid w:val="00FB1D03"/>
    <w:rsid w:val="00FB7194"/>
    <w:rsid w:val="00FC2F5D"/>
    <w:rsid w:val="00FE0718"/>
    <w:rsid w:val="00FE5DFB"/>
    <w:rsid w:val="00FE6C2D"/>
    <w:rsid w:val="00FF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9"/>
    <w:pPr>
      <w:suppressAutoHyphens/>
    </w:pPr>
    <w:rPr>
      <w:rFonts w:ascii="Arial Narrow" w:hAnsi="Arial Narrow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Characters">
    <w:name w:val="Footnote Characters"/>
    <w:rsid w:val="004318C9"/>
  </w:style>
  <w:style w:type="character" w:styleId="Numrodepage">
    <w:name w:val="page number"/>
    <w:basedOn w:val="WW-DefaultParagraphFont"/>
    <w:rsid w:val="004318C9"/>
  </w:style>
  <w:style w:type="character" w:styleId="Lienhypertexte">
    <w:name w:val="Hyperlink"/>
    <w:basedOn w:val="WW-DefaultParagraphFont"/>
    <w:rsid w:val="004318C9"/>
    <w:rPr>
      <w:color w:val="0000FF"/>
      <w:u w:val="single"/>
    </w:rPr>
  </w:style>
  <w:style w:type="character" w:customStyle="1" w:styleId="EndnoteCharacters">
    <w:name w:val="Endnote Characters"/>
    <w:rsid w:val="004318C9"/>
  </w:style>
  <w:style w:type="character" w:customStyle="1" w:styleId="WW-DefaultParagraphFont">
    <w:name w:val="WW-Default Paragraph Font"/>
    <w:rsid w:val="004318C9"/>
  </w:style>
  <w:style w:type="paragraph" w:styleId="Corpsdetexte">
    <w:name w:val="Body Text"/>
    <w:basedOn w:val="Normal"/>
    <w:rsid w:val="004318C9"/>
    <w:pPr>
      <w:spacing w:after="120"/>
    </w:pPr>
  </w:style>
  <w:style w:type="paragraph" w:styleId="En-tte">
    <w:name w:val="header"/>
    <w:basedOn w:val="Normal"/>
    <w:rsid w:val="004318C9"/>
    <w:pPr>
      <w:suppressLineNumbers/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318C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sdetexte"/>
    <w:rsid w:val="004318C9"/>
    <w:pPr>
      <w:suppressLineNumbers/>
    </w:pPr>
  </w:style>
  <w:style w:type="paragraph" w:customStyle="1" w:styleId="TableHeading">
    <w:name w:val="Table Heading"/>
    <w:basedOn w:val="TableContents"/>
    <w:rsid w:val="004318C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4318C9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4318C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4318C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318C9"/>
    <w:pPr>
      <w:spacing w:before="74"/>
    </w:pPr>
  </w:style>
  <w:style w:type="paragraph" w:customStyle="1" w:styleId="CVHeading3">
    <w:name w:val="CV Heading 3"/>
    <w:basedOn w:val="Normal"/>
    <w:next w:val="Normal"/>
    <w:rsid w:val="004318C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4318C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318C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318C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318C9"/>
    <w:pPr>
      <w:textAlignment w:val="bottom"/>
    </w:pPr>
  </w:style>
  <w:style w:type="paragraph" w:customStyle="1" w:styleId="SmallGap">
    <w:name w:val="Small Gap"/>
    <w:basedOn w:val="Normal"/>
    <w:next w:val="Normal"/>
    <w:rsid w:val="004318C9"/>
    <w:rPr>
      <w:sz w:val="10"/>
    </w:rPr>
  </w:style>
  <w:style w:type="paragraph" w:customStyle="1" w:styleId="CVHeadingLevel">
    <w:name w:val="CV Heading Level"/>
    <w:basedOn w:val="CVHeading3"/>
    <w:next w:val="Normal"/>
    <w:rsid w:val="004318C9"/>
    <w:rPr>
      <w:i/>
    </w:rPr>
  </w:style>
  <w:style w:type="paragraph" w:customStyle="1" w:styleId="LevelAssessment-Heading1">
    <w:name w:val="Level Assessment - Heading 1"/>
    <w:basedOn w:val="LevelAssessment-Code"/>
    <w:rsid w:val="004318C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318C9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4318C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4318C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4318C9"/>
    <w:pPr>
      <w:spacing w:before="74"/>
    </w:pPr>
  </w:style>
  <w:style w:type="paragraph" w:customStyle="1" w:styleId="CVMedium">
    <w:name w:val="CV Medium"/>
    <w:basedOn w:val="CVMajor"/>
    <w:rsid w:val="004318C9"/>
    <w:rPr>
      <w:sz w:val="22"/>
    </w:rPr>
  </w:style>
  <w:style w:type="paragraph" w:customStyle="1" w:styleId="CVMedium-FirstLine">
    <w:name w:val="CV Medium - First Line"/>
    <w:basedOn w:val="CVMedium"/>
    <w:next w:val="CVMedium"/>
    <w:rsid w:val="004318C9"/>
    <w:pPr>
      <w:spacing w:before="74"/>
    </w:pPr>
  </w:style>
  <w:style w:type="paragraph" w:customStyle="1" w:styleId="CVNormal">
    <w:name w:val="CV Normal"/>
    <w:basedOn w:val="CVMedium"/>
    <w:rsid w:val="004318C9"/>
    <w:rPr>
      <w:b w:val="0"/>
      <w:sz w:val="20"/>
    </w:rPr>
  </w:style>
  <w:style w:type="paragraph" w:customStyle="1" w:styleId="CVSpacer">
    <w:name w:val="CV Spacer"/>
    <w:basedOn w:val="CVNormal"/>
    <w:rsid w:val="004318C9"/>
    <w:rPr>
      <w:sz w:val="4"/>
    </w:rPr>
  </w:style>
  <w:style w:type="paragraph" w:customStyle="1" w:styleId="CVNormal-FirstLine">
    <w:name w:val="CV Normal - First Line"/>
    <w:basedOn w:val="CVNormal"/>
    <w:next w:val="CVNormal"/>
    <w:rsid w:val="004318C9"/>
    <w:pPr>
      <w:spacing w:before="74"/>
    </w:pPr>
  </w:style>
  <w:style w:type="paragraph" w:customStyle="1" w:styleId="CVFooterLeft">
    <w:name w:val="CV Footer Left"/>
    <w:basedOn w:val="Normal"/>
    <w:rsid w:val="004318C9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4318C9"/>
    <w:rPr>
      <w:bCs/>
      <w:sz w:val="16"/>
      <w:lang w:val="de-DE"/>
    </w:rPr>
  </w:style>
  <w:style w:type="paragraph" w:customStyle="1" w:styleId="GridStandard">
    <w:name w:val="Grid Standard"/>
    <w:rsid w:val="004318C9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4318C9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4318C9"/>
    <w:rPr>
      <w:sz w:val="16"/>
    </w:rPr>
  </w:style>
  <w:style w:type="paragraph" w:customStyle="1" w:styleId="GridLevel">
    <w:name w:val="Grid Level"/>
    <w:basedOn w:val="GridStandard"/>
    <w:rsid w:val="004318C9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4318C9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4318C9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4318C9"/>
    <w:rPr>
      <w:sz w:val="16"/>
    </w:rPr>
  </w:style>
  <w:style w:type="paragraph" w:styleId="Paragraphedeliste">
    <w:name w:val="List Paragraph"/>
    <w:basedOn w:val="Normal"/>
    <w:uiPriority w:val="34"/>
    <w:qFormat/>
    <w:rsid w:val="00DA4362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B662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6286"/>
    <w:rPr>
      <w:rFonts w:ascii="Tahoma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link w:val="NotedebasdepageCar"/>
    <w:rsid w:val="00420A0F"/>
  </w:style>
  <w:style w:type="character" w:customStyle="1" w:styleId="NotedebasdepageCar">
    <w:name w:val="Note de bas de page Car"/>
    <w:basedOn w:val="Policepardfaut"/>
    <w:link w:val="Notedebasdepage"/>
    <w:rsid w:val="00420A0F"/>
    <w:rPr>
      <w:rFonts w:ascii="Arial Narrow" w:hAnsi="Arial Narrow"/>
      <w:lang w:eastAsia="ar-SA"/>
    </w:rPr>
  </w:style>
  <w:style w:type="character" w:styleId="Appelnotedebasdep">
    <w:name w:val="footnote reference"/>
    <w:basedOn w:val="Policepardfaut"/>
    <w:rsid w:val="00420A0F"/>
    <w:rPr>
      <w:vertAlign w:val="superscript"/>
    </w:rPr>
  </w:style>
  <w:style w:type="paragraph" w:customStyle="1" w:styleId="ECVGenderRow">
    <w:name w:val="_ECV_GenderRow"/>
    <w:basedOn w:val="Normal"/>
    <w:rsid w:val="004E26EC"/>
    <w:pPr>
      <w:widowControl w:val="0"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character" w:customStyle="1" w:styleId="ECVContactDetails">
    <w:name w:val="_ECV_ContactDetails"/>
    <w:rsid w:val="002202D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84AD4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nom">
    <w:name w:val="nom"/>
    <w:basedOn w:val="Normal"/>
    <w:rsid w:val="00E3103A"/>
    <w:pPr>
      <w:suppressAutoHyphens w:val="0"/>
      <w:spacing w:after="200"/>
      <w:ind w:right="539"/>
      <w:jc w:val="center"/>
    </w:pPr>
    <w:rPr>
      <w:rFonts w:ascii="Avant Garde" w:hAnsi="Avant Garde"/>
      <w:b/>
      <w:bCs/>
      <w:sz w:val="32"/>
      <w:szCs w:val="32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fosjuridiques.com.tn/redaction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tm.rnu.tn/visirech/Fr/utm/fdspt/drima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tdd2004.org.tn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pt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ybercrime-fr.org" TargetMode="External"/><Relationship Id="rId10" Type="http://schemas.openxmlformats.org/officeDocument/2006/relationships/hyperlink" Target="http://www.c-s-p.org/Flyers/Productivity--Investment-in-Human-Capital-and-the-Challenge-of-Youth-Employment1-4438-3174-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logger.com/blogger.g?blogID=7807792337382030780" TargetMode="External"/><Relationship Id="rId14" Type="http://schemas.openxmlformats.org/officeDocument/2006/relationships/hyperlink" Target="http://ejcls.adapt.it/index.php/ejcls_adapt/about/editorialTea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AEA24-3E8E-4678-BE77-B8E3CB19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1886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Hewlett-Packard</Company>
  <LinksUpToDate>false</LinksUpToDate>
  <CharactersWithSpaces>12237</CharactersWithSpaces>
  <SharedDoc>false</SharedDoc>
  <HLinks>
    <vt:vector size="6" baseType="variant">
      <vt:variant>
        <vt:i4>2097218</vt:i4>
      </vt:variant>
      <vt:variant>
        <vt:i4>0</vt:i4>
      </vt:variant>
      <vt:variant>
        <vt:i4>0</vt:i4>
      </vt:variant>
      <vt:variant>
        <vt:i4>5</vt:i4>
      </vt:variant>
      <vt:variant>
        <vt:lpwstr>mailto:noureddine.houman@wtctn.com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dell</cp:lastModifiedBy>
  <cp:revision>5</cp:revision>
  <cp:lastPrinted>2017-09-18T10:25:00Z</cp:lastPrinted>
  <dcterms:created xsi:type="dcterms:W3CDTF">2017-09-18T21:13:00Z</dcterms:created>
  <dcterms:modified xsi:type="dcterms:W3CDTF">2018-03-15T19:40:00Z</dcterms:modified>
</cp:coreProperties>
</file>