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-229"/>
        <w:tblW w:w="513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"/>
        <w:gridCol w:w="1803"/>
        <w:gridCol w:w="80"/>
        <w:gridCol w:w="3326"/>
        <w:gridCol w:w="2835"/>
        <w:gridCol w:w="2278"/>
        <w:gridCol w:w="167"/>
      </w:tblGrid>
      <w:tr w:rsidR="00C93193" w:rsidRPr="00A369B2" w:rsidTr="00C93193">
        <w:trPr>
          <w:gridBefore w:val="1"/>
          <w:wBefore w:w="5" w:type="dxa"/>
          <w:trHeight w:val="2878"/>
          <w:tblCellSpacing w:w="22" w:type="dxa"/>
        </w:trPr>
        <w:tc>
          <w:tcPr>
            <w:tcW w:w="102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193" w:rsidRDefault="00C93193" w:rsidP="000D3DE3">
            <w:pPr>
              <w:spacing w:after="120"/>
              <w:rPr>
                <w:rFonts w:asciiTheme="majorBidi" w:hAnsiTheme="majorBidi" w:cstheme="majorBidi"/>
                <w:b/>
                <w:bCs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  <w:sz w:val="28"/>
                <w:szCs w:val="28"/>
              </w:rPr>
              <w:t>AMANI Ismail</w:t>
            </w: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 xml:space="preserve">              </w:t>
            </w:r>
          </w:p>
          <w:p w:rsidR="000D3DE3" w:rsidRDefault="000D3DE3" w:rsidP="000D3DE3">
            <w:pPr>
              <w:spacing w:after="120"/>
              <w:rPr>
                <w:rFonts w:asciiTheme="majorBidi" w:hAnsiTheme="majorBidi" w:cstheme="majorBidi"/>
                <w:b/>
                <w:bCs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Né le 07/04/1989 (2</w:t>
            </w:r>
            <w:r>
              <w:rPr>
                <w:rFonts w:asciiTheme="majorBidi" w:hAnsiTheme="majorBidi" w:cstheme="majorBidi"/>
                <w:b/>
                <w:bCs/>
                <w:color w:val="333399"/>
              </w:rPr>
              <w:t>8</w:t>
            </w: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 xml:space="preserve"> ans), Célibataire</w:t>
            </w:r>
          </w:p>
          <w:p w:rsidR="00C93193" w:rsidRDefault="00C93193" w:rsidP="00C93193">
            <w:pPr>
              <w:spacing w:after="60"/>
              <w:rPr>
                <w:rFonts w:asciiTheme="majorBidi" w:hAnsiTheme="majorBidi" w:cstheme="majorBidi"/>
                <w:b/>
                <w:bCs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 xml:space="preserve">Lotissement des 430, n°476, </w:t>
            </w:r>
            <w:proofErr w:type="spellStart"/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Belgaid</w:t>
            </w:r>
            <w:proofErr w:type="spellEnd"/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 xml:space="preserve">, </w:t>
            </w:r>
            <w:proofErr w:type="spellStart"/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Bir</w:t>
            </w:r>
            <w:proofErr w:type="spellEnd"/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 xml:space="preserve"> el </w:t>
            </w:r>
            <w:proofErr w:type="spellStart"/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Djir</w:t>
            </w:r>
            <w:proofErr w:type="spellEnd"/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, Oran</w:t>
            </w:r>
          </w:p>
          <w:p w:rsidR="00C93193" w:rsidRPr="00BA5017" w:rsidRDefault="00C93193" w:rsidP="00C93193">
            <w:pPr>
              <w:spacing w:after="60"/>
              <w:rPr>
                <w:rFonts w:asciiTheme="majorBidi" w:hAnsiTheme="majorBidi" w:cstheme="majorBidi"/>
                <w:b/>
                <w:bCs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 xml:space="preserve">Téléphone : </w:t>
            </w:r>
            <w:r>
              <w:rPr>
                <w:rFonts w:asciiTheme="majorBidi" w:hAnsiTheme="majorBidi" w:cstheme="majorBidi"/>
                <w:b/>
                <w:bCs/>
                <w:color w:val="333399"/>
              </w:rPr>
              <w:t xml:space="preserve">(+213) </w:t>
            </w: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 xml:space="preserve">6 62 68 47 61 </w:t>
            </w:r>
            <w:r>
              <w:rPr>
                <w:rFonts w:asciiTheme="majorBidi" w:hAnsiTheme="majorBidi" w:cstheme="majorBidi"/>
                <w:b/>
                <w:bCs/>
                <w:color w:val="333399"/>
              </w:rPr>
              <w:t>*</w:t>
            </w:r>
          </w:p>
          <w:p w:rsidR="00C93193" w:rsidRPr="00A369B2" w:rsidRDefault="005C0E52" w:rsidP="00C93193">
            <w:pPr>
              <w:rPr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noProof/>
                <w:color w:val="333399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8EB98C5" wp14:editId="3150A7E4">
                  <wp:simplePos x="0" y="0"/>
                  <wp:positionH relativeFrom="column">
                    <wp:posOffset>4963795</wp:posOffset>
                  </wp:positionH>
                  <wp:positionV relativeFrom="paragraph">
                    <wp:posOffset>-925830</wp:posOffset>
                  </wp:positionV>
                  <wp:extent cx="1365885" cy="1666875"/>
                  <wp:effectExtent l="0" t="0" r="5715" b="9525"/>
                  <wp:wrapTight wrapText="bothSides">
                    <wp:wrapPolygon edited="0">
                      <wp:start x="0" y="0"/>
                      <wp:lineTo x="0" y="21477"/>
                      <wp:lineTo x="21389" y="21477"/>
                      <wp:lineTo x="21389" y="0"/>
                      <wp:lineTo x="0" y="0"/>
                    </wp:wrapPolygon>
                  </wp:wrapTight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3193" w:rsidRPr="00BA5017">
              <w:rPr>
                <w:rFonts w:asciiTheme="majorBidi" w:hAnsiTheme="majorBidi" w:cstheme="majorBidi"/>
                <w:b/>
                <w:bCs/>
                <w:color w:val="333399"/>
              </w:rPr>
              <w:t xml:space="preserve">E-mail : amani.ismail7@gmail.com                                                                                                           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193" w:rsidRPr="00A369B2" w:rsidRDefault="00C93193" w:rsidP="00C93193">
            <w:pPr>
              <w:jc w:val="center"/>
              <w:rPr>
                <w:color w:val="333399"/>
              </w:rPr>
            </w:pPr>
            <w:r>
              <w:rPr>
                <w:noProof/>
                <w:color w:val="333399"/>
              </w:rPr>
              <w:drawing>
                <wp:anchor distT="0" distB="0" distL="0" distR="0" simplePos="0" relativeHeight="251659264" behindDoc="0" locked="0" layoutInCell="1" allowOverlap="0" wp14:anchorId="7F25B7FC" wp14:editId="65104AB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8575" cy="1238250"/>
                  <wp:effectExtent l="19050" t="0" r="9525" b="0"/>
                  <wp:wrapSquare wrapText="bothSides"/>
                  <wp:docPr id="3" name="Image 3" descr="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0472" w:type="dxa"/>
            <w:gridSpan w:val="7"/>
            <w:shd w:val="clear" w:color="auto" w:fill="FF0000"/>
          </w:tcPr>
          <w:p w:rsidR="00C93193" w:rsidRPr="00C90198" w:rsidRDefault="00C93193" w:rsidP="00C93193">
            <w:pPr>
              <w:rPr>
                <w:color w:val="333399"/>
                <w:sz w:val="2"/>
              </w:rPr>
            </w:pPr>
          </w:p>
        </w:tc>
      </w:tr>
      <w:tr w:rsidR="00C93193" w:rsidRPr="00C90198" w:rsidTr="00C93193">
        <w:tblPrEx>
          <w:tblCellSpacing w:w="37" w:type="dxa"/>
        </w:tblPrEx>
        <w:trPr>
          <w:trHeight w:val="614"/>
          <w:tblCellSpacing w:w="37" w:type="dxa"/>
        </w:trPr>
        <w:tc>
          <w:tcPr>
            <w:tcW w:w="1888" w:type="dxa"/>
            <w:gridSpan w:val="3"/>
            <w:shd w:val="clear" w:color="auto" w:fill="E6E6E6"/>
          </w:tcPr>
          <w:p w:rsidR="00C93193" w:rsidRPr="00BA5017" w:rsidRDefault="00C93193" w:rsidP="000E1325">
            <w:pPr>
              <w:spacing w:line="15" w:lineRule="atLeast"/>
              <w:rPr>
                <w:rFonts w:asciiTheme="majorBidi" w:hAnsiTheme="majorBidi" w:cstheme="majorBidi"/>
                <w:b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color w:val="333399"/>
              </w:rPr>
              <w:t xml:space="preserve">Novembre 2013 à </w:t>
            </w:r>
            <w:r w:rsidR="000E1325">
              <w:rPr>
                <w:rFonts w:asciiTheme="majorBidi" w:hAnsiTheme="majorBidi" w:cstheme="majorBidi"/>
                <w:b/>
                <w:color w:val="333399"/>
              </w:rPr>
              <w:t>Juin 2017</w:t>
            </w:r>
            <w:bookmarkStart w:id="0" w:name="_GoBack"/>
            <w:bookmarkEnd w:id="0"/>
          </w:p>
        </w:tc>
        <w:tc>
          <w:tcPr>
            <w:tcW w:w="6117" w:type="dxa"/>
            <w:gridSpan w:val="2"/>
            <w:shd w:val="clear" w:color="auto" w:fill="E6E6E6"/>
            <w:vAlign w:val="center"/>
          </w:tcPr>
          <w:p w:rsidR="00C93193" w:rsidRPr="00BA5017" w:rsidRDefault="00C93193" w:rsidP="00C93193">
            <w:pPr>
              <w:rPr>
                <w:rFonts w:asciiTheme="majorBidi" w:hAnsiTheme="majorBidi" w:cstheme="majorBidi"/>
                <w:b/>
                <w:bCs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Doctorat Economie Monétaire et Financière</w:t>
            </w:r>
          </w:p>
          <w:p w:rsidR="00C93193" w:rsidRPr="00BA5017" w:rsidRDefault="00C93193" w:rsidP="00C93193">
            <w:pPr>
              <w:rPr>
                <w:rFonts w:asciiTheme="majorBidi" w:hAnsiTheme="majorBidi" w:cstheme="majorBidi"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 xml:space="preserve">Thèse : </w:t>
            </w:r>
            <w:r>
              <w:rPr>
                <w:rFonts w:asciiTheme="majorBidi" w:hAnsiTheme="majorBidi" w:cstheme="majorBidi"/>
                <w:color w:val="333399"/>
              </w:rPr>
              <w:t>Impact des composantes de la politique budgétaire sur l’inflation et la croissance en Algérie (1970 – 2014)</w:t>
            </w:r>
          </w:p>
        </w:tc>
        <w:tc>
          <w:tcPr>
            <w:tcW w:w="2379" w:type="dxa"/>
            <w:gridSpan w:val="2"/>
            <w:shd w:val="clear" w:color="auto" w:fill="E6E6E6"/>
            <w:vAlign w:val="center"/>
          </w:tcPr>
          <w:p w:rsidR="00C93193" w:rsidRPr="00BA5017" w:rsidRDefault="00C93193" w:rsidP="00C93193">
            <w:pPr>
              <w:rPr>
                <w:rFonts w:asciiTheme="majorBidi" w:hAnsiTheme="majorBidi" w:cstheme="majorBidi"/>
                <w:color w:val="333399"/>
              </w:rPr>
            </w:pPr>
            <w:r w:rsidRPr="00BA5017">
              <w:rPr>
                <w:rFonts w:asciiTheme="majorBidi" w:hAnsiTheme="majorBidi" w:cstheme="majorBidi"/>
                <w:color w:val="333399"/>
              </w:rPr>
              <w:t>Université d’Oran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20"/>
          <w:tblCellSpacing w:w="37" w:type="dxa"/>
        </w:trPr>
        <w:tc>
          <w:tcPr>
            <w:tcW w:w="1888" w:type="dxa"/>
            <w:gridSpan w:val="3"/>
            <w:shd w:val="clear" w:color="auto" w:fill="E6E6E6"/>
          </w:tcPr>
          <w:p w:rsidR="00C93193" w:rsidRPr="00BA5017" w:rsidRDefault="00C93193" w:rsidP="00C93193">
            <w:pPr>
              <w:spacing w:line="15" w:lineRule="atLeast"/>
              <w:rPr>
                <w:rFonts w:asciiTheme="majorBidi" w:hAnsiTheme="majorBidi" w:cstheme="majorBidi"/>
                <w:b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color w:val="333399"/>
              </w:rPr>
              <w:t>Septembre 2011 à Juin 2013</w:t>
            </w:r>
          </w:p>
        </w:tc>
        <w:tc>
          <w:tcPr>
            <w:tcW w:w="6117" w:type="dxa"/>
            <w:gridSpan w:val="2"/>
            <w:shd w:val="clear" w:color="auto" w:fill="E6E6E6"/>
            <w:vAlign w:val="center"/>
          </w:tcPr>
          <w:p w:rsidR="00C93193" w:rsidRPr="00BA5017" w:rsidRDefault="00C93193" w:rsidP="00C93193">
            <w:pPr>
              <w:rPr>
                <w:rFonts w:asciiTheme="majorBidi" w:hAnsiTheme="majorBidi" w:cstheme="majorBidi"/>
                <w:b/>
                <w:bCs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Master Banques et Assurances</w:t>
            </w:r>
          </w:p>
          <w:p w:rsidR="00C93193" w:rsidRPr="00BA5017" w:rsidRDefault="00C93193" w:rsidP="00C93193">
            <w:pPr>
              <w:rPr>
                <w:rFonts w:asciiTheme="majorBidi" w:hAnsiTheme="majorBidi" w:cstheme="majorBidi"/>
                <w:b/>
                <w:bCs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 xml:space="preserve">Mémoire : </w:t>
            </w:r>
            <w:r w:rsidRPr="00BA5017">
              <w:rPr>
                <w:rFonts w:asciiTheme="majorBidi" w:hAnsiTheme="majorBidi" w:cstheme="majorBidi"/>
                <w:color w:val="333399"/>
              </w:rPr>
              <w:t>Essai sur l’Impact de la Politique Monétaire sur l’Inflation et la Croissance en Algérie (1991-2012)</w:t>
            </w:r>
          </w:p>
        </w:tc>
        <w:tc>
          <w:tcPr>
            <w:tcW w:w="2379" w:type="dxa"/>
            <w:gridSpan w:val="2"/>
            <w:shd w:val="clear" w:color="auto" w:fill="E6E6E6"/>
            <w:vAlign w:val="center"/>
          </w:tcPr>
          <w:p w:rsidR="00C93193" w:rsidRPr="00BA5017" w:rsidRDefault="00C93193" w:rsidP="00C93193">
            <w:pPr>
              <w:rPr>
                <w:rFonts w:asciiTheme="majorBidi" w:hAnsiTheme="majorBidi" w:cstheme="majorBidi"/>
                <w:color w:val="333399"/>
              </w:rPr>
            </w:pPr>
            <w:r w:rsidRPr="00BA5017">
              <w:rPr>
                <w:rFonts w:asciiTheme="majorBidi" w:hAnsiTheme="majorBidi" w:cstheme="majorBidi"/>
                <w:color w:val="333399"/>
              </w:rPr>
              <w:t>Université d’Oran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888" w:type="dxa"/>
            <w:gridSpan w:val="3"/>
            <w:shd w:val="clear" w:color="auto" w:fill="E6E6E6"/>
          </w:tcPr>
          <w:p w:rsidR="00C93193" w:rsidRPr="00BA5017" w:rsidRDefault="00C93193" w:rsidP="00C93193">
            <w:pPr>
              <w:pStyle w:val="NormalWeb"/>
              <w:spacing w:line="15" w:lineRule="atLeast"/>
              <w:rPr>
                <w:rFonts w:asciiTheme="majorBidi" w:hAnsiTheme="majorBidi" w:cstheme="majorBidi"/>
                <w:b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color w:val="333399"/>
              </w:rPr>
              <w:t>Juin 2011</w:t>
            </w:r>
          </w:p>
        </w:tc>
        <w:tc>
          <w:tcPr>
            <w:tcW w:w="6117" w:type="dxa"/>
            <w:gridSpan w:val="2"/>
            <w:shd w:val="clear" w:color="auto" w:fill="E6E6E6"/>
            <w:vAlign w:val="center"/>
          </w:tcPr>
          <w:p w:rsidR="00C93193" w:rsidRPr="00BA5017" w:rsidRDefault="00C93193" w:rsidP="00C93193">
            <w:pPr>
              <w:spacing w:line="15" w:lineRule="atLeast"/>
              <w:rPr>
                <w:rFonts w:asciiTheme="majorBidi" w:hAnsiTheme="majorBidi" w:cstheme="majorBidi"/>
                <w:b/>
                <w:bCs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Licence Sciences Economiques (Bac+4)</w:t>
            </w:r>
          </w:p>
          <w:p w:rsidR="00C93193" w:rsidRDefault="00C93193" w:rsidP="00C93193">
            <w:pPr>
              <w:spacing w:line="15" w:lineRule="atLeast"/>
              <w:rPr>
                <w:rFonts w:asciiTheme="majorBidi" w:hAnsiTheme="majorBidi" w:cstheme="majorBidi"/>
                <w:b/>
                <w:bCs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Option ; Monnaie, Banques, Finance</w:t>
            </w:r>
          </w:p>
          <w:p w:rsidR="00C93193" w:rsidRPr="00BA5017" w:rsidRDefault="00C93193" w:rsidP="00C93193">
            <w:pPr>
              <w:spacing w:line="15" w:lineRule="atLeast"/>
              <w:rPr>
                <w:rFonts w:asciiTheme="majorBidi" w:hAnsiTheme="majorBidi" w:cstheme="majorBidi"/>
                <w:b/>
                <w:bCs/>
                <w:color w:val="333399"/>
              </w:rPr>
            </w:pPr>
            <w:r>
              <w:rPr>
                <w:rFonts w:asciiTheme="majorBidi" w:hAnsiTheme="majorBidi" w:cstheme="majorBidi"/>
                <w:b/>
                <w:bCs/>
                <w:color w:val="333399"/>
              </w:rPr>
              <w:t xml:space="preserve">Mémoire : </w:t>
            </w:r>
            <w:r w:rsidRPr="007038FB">
              <w:rPr>
                <w:rFonts w:asciiTheme="majorBidi" w:hAnsiTheme="majorBidi" w:cstheme="majorBidi"/>
                <w:color w:val="333399"/>
              </w:rPr>
              <w:t>Financement d’un Projet d’Investissement</w:t>
            </w:r>
          </w:p>
        </w:tc>
        <w:tc>
          <w:tcPr>
            <w:tcW w:w="2379" w:type="dxa"/>
            <w:gridSpan w:val="2"/>
            <w:shd w:val="clear" w:color="auto" w:fill="E6E6E6"/>
            <w:vAlign w:val="center"/>
          </w:tcPr>
          <w:p w:rsidR="00C93193" w:rsidRPr="00BA5017" w:rsidRDefault="00C93193" w:rsidP="00C93193">
            <w:pPr>
              <w:rPr>
                <w:rFonts w:asciiTheme="majorBidi" w:hAnsiTheme="majorBidi" w:cstheme="majorBidi"/>
                <w:color w:val="333399"/>
              </w:rPr>
            </w:pPr>
            <w:r w:rsidRPr="00BA5017">
              <w:rPr>
                <w:rFonts w:asciiTheme="majorBidi" w:hAnsiTheme="majorBidi" w:cstheme="majorBidi"/>
                <w:color w:val="333399"/>
              </w:rPr>
              <w:t>Université d’Oran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382"/>
          <w:tblCellSpacing w:w="37" w:type="dxa"/>
        </w:trPr>
        <w:tc>
          <w:tcPr>
            <w:tcW w:w="1888" w:type="dxa"/>
            <w:gridSpan w:val="3"/>
            <w:shd w:val="clear" w:color="auto" w:fill="E6E6E6"/>
          </w:tcPr>
          <w:p w:rsidR="00C93193" w:rsidRPr="00BA5017" w:rsidRDefault="00C93193" w:rsidP="00C93193">
            <w:pPr>
              <w:spacing w:line="15" w:lineRule="atLeast"/>
              <w:rPr>
                <w:rFonts w:asciiTheme="majorBidi" w:hAnsiTheme="majorBidi" w:cstheme="majorBidi"/>
                <w:b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color w:val="333399"/>
              </w:rPr>
              <w:t>Juin 2007</w:t>
            </w:r>
          </w:p>
        </w:tc>
        <w:tc>
          <w:tcPr>
            <w:tcW w:w="8540" w:type="dxa"/>
            <w:gridSpan w:val="4"/>
            <w:shd w:val="clear" w:color="auto" w:fill="E6E6E6"/>
            <w:vAlign w:val="center"/>
          </w:tcPr>
          <w:p w:rsidR="00C93193" w:rsidRPr="00BA5017" w:rsidRDefault="00C93193" w:rsidP="00C93193">
            <w:pPr>
              <w:rPr>
                <w:rFonts w:asciiTheme="majorBidi" w:hAnsiTheme="majorBidi" w:cstheme="majorBidi"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Bac Scientifique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0472" w:type="dxa"/>
            <w:gridSpan w:val="7"/>
            <w:shd w:val="clear" w:color="auto" w:fill="FF0000"/>
          </w:tcPr>
          <w:p w:rsidR="00C93193" w:rsidRPr="00C90198" w:rsidRDefault="00C93193" w:rsidP="00C93193">
            <w:pPr>
              <w:rPr>
                <w:color w:val="333399"/>
                <w:sz w:val="2"/>
              </w:rPr>
            </w:pP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0472" w:type="dxa"/>
            <w:gridSpan w:val="7"/>
          </w:tcPr>
          <w:p w:rsidR="00C93193" w:rsidRPr="00BA5017" w:rsidRDefault="00C93193" w:rsidP="004343D4">
            <w:pPr>
              <w:pStyle w:val="NormalWeb"/>
              <w:spacing w:before="0" w:beforeAutospacing="0" w:after="0" w:afterAutospacing="0" w:line="15" w:lineRule="atLeast"/>
              <w:rPr>
                <w:rFonts w:asciiTheme="majorBidi" w:hAnsiTheme="majorBidi" w:cstheme="majorBidi"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 EXPERIENCE PROFESSIONNELLE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0472" w:type="dxa"/>
            <w:gridSpan w:val="7"/>
            <w:shd w:val="clear" w:color="auto" w:fill="FF0000"/>
          </w:tcPr>
          <w:p w:rsidR="00C93193" w:rsidRPr="00C90198" w:rsidRDefault="00C93193" w:rsidP="00C93193">
            <w:pPr>
              <w:rPr>
                <w:color w:val="333399"/>
                <w:sz w:val="2"/>
              </w:rPr>
            </w:pP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808" w:type="dxa"/>
            <w:gridSpan w:val="2"/>
            <w:shd w:val="clear" w:color="auto" w:fill="E6E6E6"/>
          </w:tcPr>
          <w:p w:rsidR="00C93193" w:rsidRPr="00E03EF1" w:rsidRDefault="00C93193" w:rsidP="00C93193">
            <w:pPr>
              <w:spacing w:line="15" w:lineRule="atLeast"/>
              <w:rPr>
                <w:b/>
                <w:bCs/>
                <w:color w:val="333399"/>
              </w:rPr>
            </w:pPr>
            <w:r w:rsidRPr="00E03EF1">
              <w:rPr>
                <w:b/>
                <w:bCs/>
                <w:color w:val="333399"/>
              </w:rPr>
              <w:t>Novembre 2013 à Aujourd’hui</w:t>
            </w:r>
          </w:p>
        </w:tc>
        <w:tc>
          <w:tcPr>
            <w:tcW w:w="8620" w:type="dxa"/>
            <w:gridSpan w:val="5"/>
            <w:shd w:val="clear" w:color="auto" w:fill="E6E6E6"/>
            <w:vAlign w:val="center"/>
          </w:tcPr>
          <w:p w:rsidR="00C93193" w:rsidRPr="00E03EF1" w:rsidRDefault="00C93193" w:rsidP="00C93193">
            <w:pPr>
              <w:jc w:val="both"/>
              <w:rPr>
                <w:b/>
                <w:bCs/>
                <w:color w:val="333399"/>
              </w:rPr>
            </w:pPr>
            <w:r w:rsidRPr="00E03EF1">
              <w:rPr>
                <w:b/>
                <w:bCs/>
                <w:color w:val="333399"/>
              </w:rPr>
              <w:t>Enseignant Assistant</w:t>
            </w:r>
            <w:r>
              <w:rPr>
                <w:b/>
                <w:bCs/>
                <w:color w:val="333399"/>
              </w:rPr>
              <w:t xml:space="preserve"> (Vacations) - </w:t>
            </w:r>
            <w:r w:rsidRPr="00E03EF1">
              <w:rPr>
                <w:b/>
                <w:bCs/>
                <w:color w:val="333399"/>
              </w:rPr>
              <w:t>Université d’Oran</w:t>
            </w:r>
            <w:r>
              <w:rPr>
                <w:b/>
                <w:bCs/>
                <w:color w:val="333399"/>
              </w:rPr>
              <w:t xml:space="preserve"> 2</w:t>
            </w:r>
          </w:p>
          <w:p w:rsidR="00C93193" w:rsidRDefault="00C93193" w:rsidP="00C93193">
            <w:pPr>
              <w:jc w:val="both"/>
              <w:rPr>
                <w:color w:val="333399"/>
              </w:rPr>
            </w:pPr>
            <w:r>
              <w:rPr>
                <w:color w:val="333399"/>
              </w:rPr>
              <w:t>- Macroéconomie – Master 1 Economie Internationale (2017/2018)</w:t>
            </w:r>
          </w:p>
          <w:p w:rsidR="00C93193" w:rsidRDefault="00C93193" w:rsidP="00C93193">
            <w:pPr>
              <w:jc w:val="both"/>
              <w:rPr>
                <w:color w:val="333399"/>
              </w:rPr>
            </w:pPr>
            <w:r>
              <w:rPr>
                <w:color w:val="333399"/>
              </w:rPr>
              <w:t>- Méthodes Quantitatives Appliquées – 3</w:t>
            </w:r>
            <w:r w:rsidRPr="00FD1786">
              <w:rPr>
                <w:color w:val="333399"/>
                <w:vertAlign w:val="superscript"/>
              </w:rPr>
              <w:t>ème</w:t>
            </w:r>
            <w:r>
              <w:rPr>
                <w:color w:val="333399"/>
              </w:rPr>
              <w:t xml:space="preserve"> Année Sc. Economiques (2017-2018)</w:t>
            </w:r>
          </w:p>
          <w:p w:rsidR="00C93193" w:rsidRDefault="00C93193" w:rsidP="00C93193">
            <w:pPr>
              <w:jc w:val="both"/>
              <w:rPr>
                <w:color w:val="333399"/>
              </w:rPr>
            </w:pPr>
            <w:r>
              <w:rPr>
                <w:color w:val="333399"/>
              </w:rPr>
              <w:t>- Macroéconomie Dynamique – 3</w:t>
            </w:r>
            <w:r w:rsidRPr="00FD1786">
              <w:rPr>
                <w:color w:val="333399"/>
                <w:vertAlign w:val="superscript"/>
              </w:rPr>
              <w:t>ème</w:t>
            </w:r>
            <w:r>
              <w:rPr>
                <w:color w:val="333399"/>
              </w:rPr>
              <w:t xml:space="preserve"> Année Sc. Economiques (2013-2018)</w:t>
            </w:r>
          </w:p>
          <w:p w:rsidR="00C93193" w:rsidRDefault="00C93193" w:rsidP="00C93193">
            <w:pPr>
              <w:jc w:val="both"/>
              <w:rPr>
                <w:color w:val="333399"/>
              </w:rPr>
            </w:pPr>
            <w:r>
              <w:rPr>
                <w:color w:val="333399"/>
              </w:rPr>
              <w:t>- Economie Monétaire et Marchés et des Capitaux – 2</w:t>
            </w:r>
            <w:r w:rsidRPr="001E3F1C">
              <w:rPr>
                <w:color w:val="333399"/>
                <w:vertAlign w:val="superscript"/>
              </w:rPr>
              <w:t>ème</w:t>
            </w:r>
            <w:r>
              <w:rPr>
                <w:color w:val="333399"/>
              </w:rPr>
              <w:t xml:space="preserve"> Année Sc. Financière (2016/2018) / 2</w:t>
            </w:r>
            <w:r w:rsidRPr="00FD1786">
              <w:rPr>
                <w:color w:val="333399"/>
                <w:vertAlign w:val="superscript"/>
              </w:rPr>
              <w:t>ème</w:t>
            </w:r>
            <w:r>
              <w:rPr>
                <w:color w:val="333399"/>
              </w:rPr>
              <w:t xml:space="preserve"> Année Sc. de Gestion (2013/14)</w:t>
            </w:r>
          </w:p>
          <w:p w:rsidR="00C93193" w:rsidRDefault="00C93193" w:rsidP="00C93193">
            <w:pPr>
              <w:jc w:val="both"/>
              <w:rPr>
                <w:color w:val="333399"/>
              </w:rPr>
            </w:pPr>
            <w:r>
              <w:rPr>
                <w:color w:val="333399"/>
              </w:rPr>
              <w:t>- Finances Publiques – 2</w:t>
            </w:r>
            <w:r w:rsidRPr="001E3F1C">
              <w:rPr>
                <w:color w:val="333399"/>
                <w:vertAlign w:val="superscript"/>
              </w:rPr>
              <w:t>ème</w:t>
            </w:r>
            <w:r>
              <w:rPr>
                <w:color w:val="333399"/>
              </w:rPr>
              <w:t xml:space="preserve"> Année Sc. Financière (2016/2018)</w:t>
            </w:r>
          </w:p>
          <w:p w:rsidR="00C93193" w:rsidRDefault="00C93193" w:rsidP="00C93193">
            <w:pPr>
              <w:jc w:val="both"/>
              <w:rPr>
                <w:color w:val="333399"/>
              </w:rPr>
            </w:pPr>
            <w:r>
              <w:rPr>
                <w:color w:val="333399"/>
              </w:rPr>
              <w:t>- Macroéconomie – 2</w:t>
            </w:r>
            <w:r w:rsidRPr="00861D0E">
              <w:rPr>
                <w:color w:val="333399"/>
                <w:vertAlign w:val="superscript"/>
              </w:rPr>
              <w:t>ème</w:t>
            </w:r>
            <w:r>
              <w:rPr>
                <w:color w:val="333399"/>
              </w:rPr>
              <w:t xml:space="preserve"> Année Sc. de Gestion (2014/2015)</w:t>
            </w:r>
          </w:p>
          <w:p w:rsidR="00C93193" w:rsidRDefault="00C93193" w:rsidP="00C93193">
            <w:pPr>
              <w:jc w:val="both"/>
              <w:rPr>
                <w:color w:val="333399"/>
              </w:rPr>
            </w:pPr>
            <w:r>
              <w:rPr>
                <w:color w:val="333399"/>
              </w:rPr>
              <w:t>- Croissance et Fluctuations – Master 1 Economie Internationale (2013/14)</w:t>
            </w:r>
          </w:p>
          <w:p w:rsidR="00C93193" w:rsidRPr="00E03EF1" w:rsidRDefault="00C93193" w:rsidP="00C93193">
            <w:pPr>
              <w:jc w:val="both"/>
              <w:rPr>
                <w:color w:val="333399"/>
              </w:rPr>
            </w:pPr>
            <w:r>
              <w:rPr>
                <w:color w:val="333399"/>
              </w:rPr>
              <w:t>- Terminologie économique – 1</w:t>
            </w:r>
            <w:r w:rsidRPr="00FD1786">
              <w:rPr>
                <w:color w:val="333399"/>
                <w:vertAlign w:val="superscript"/>
              </w:rPr>
              <w:t>ère</w:t>
            </w:r>
            <w:r>
              <w:rPr>
                <w:color w:val="333399"/>
              </w:rPr>
              <w:t xml:space="preserve"> Année Sc. de Gestion (2013/2014)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808" w:type="dxa"/>
            <w:gridSpan w:val="2"/>
            <w:shd w:val="clear" w:color="auto" w:fill="E6E6E6"/>
          </w:tcPr>
          <w:p w:rsidR="00C93193" w:rsidRPr="00E03EF1" w:rsidRDefault="00C93193" w:rsidP="00C93193">
            <w:pPr>
              <w:spacing w:line="15" w:lineRule="atLeast"/>
              <w:rPr>
                <w:b/>
                <w:bCs/>
                <w:color w:val="333399"/>
              </w:rPr>
            </w:pPr>
            <w:r>
              <w:rPr>
                <w:b/>
                <w:bCs/>
                <w:color w:val="333399"/>
              </w:rPr>
              <w:t>Novembre 2016 à Aujourd’hui</w:t>
            </w:r>
          </w:p>
        </w:tc>
        <w:tc>
          <w:tcPr>
            <w:tcW w:w="8620" w:type="dxa"/>
            <w:gridSpan w:val="5"/>
            <w:shd w:val="clear" w:color="auto" w:fill="E6E6E6"/>
            <w:vAlign w:val="center"/>
          </w:tcPr>
          <w:p w:rsidR="00C93193" w:rsidRDefault="00C93193" w:rsidP="00C93193">
            <w:pPr>
              <w:jc w:val="both"/>
              <w:rPr>
                <w:rFonts w:asciiTheme="majorBidi" w:hAnsiTheme="majorBidi" w:cstheme="majorBidi"/>
                <w:b/>
                <w:color w:val="333399"/>
              </w:rPr>
            </w:pPr>
            <w:r>
              <w:rPr>
                <w:b/>
                <w:bCs/>
                <w:color w:val="333399"/>
              </w:rPr>
              <w:t xml:space="preserve">Administrateur Analyste - </w:t>
            </w:r>
            <w:r w:rsidRPr="00BA5017">
              <w:rPr>
                <w:rFonts w:asciiTheme="majorBidi" w:hAnsiTheme="majorBidi" w:cstheme="majorBidi"/>
                <w:b/>
                <w:color w:val="333399"/>
              </w:rPr>
              <w:t>Wilaya d’Oran (Siège)</w:t>
            </w:r>
          </w:p>
          <w:p w:rsidR="00C93193" w:rsidRPr="00E03EF1" w:rsidRDefault="00C93193" w:rsidP="00C93193">
            <w:pPr>
              <w:jc w:val="both"/>
              <w:rPr>
                <w:b/>
                <w:bCs/>
                <w:color w:val="333399"/>
              </w:rPr>
            </w:pPr>
            <w:r w:rsidRPr="00326977">
              <w:rPr>
                <w:rFonts w:asciiTheme="majorBidi" w:hAnsiTheme="majorBidi" w:cstheme="majorBidi"/>
                <w:bCs/>
                <w:color w:val="333399"/>
              </w:rPr>
              <w:t xml:space="preserve">Service </w:t>
            </w:r>
            <w:r>
              <w:rPr>
                <w:rFonts w:asciiTheme="majorBidi" w:hAnsiTheme="majorBidi" w:cstheme="majorBidi"/>
                <w:bCs/>
                <w:color w:val="333399"/>
              </w:rPr>
              <w:t>des Marchés et des Programmes</w:t>
            </w:r>
            <w:r w:rsidRPr="00326977">
              <w:rPr>
                <w:rFonts w:asciiTheme="majorBidi" w:hAnsiTheme="majorBidi" w:cstheme="majorBidi"/>
                <w:bCs/>
                <w:color w:val="333399"/>
              </w:rPr>
              <w:t xml:space="preserve"> (Bureau des </w:t>
            </w:r>
            <w:r>
              <w:rPr>
                <w:rFonts w:asciiTheme="majorBidi" w:hAnsiTheme="majorBidi" w:cstheme="majorBidi"/>
                <w:bCs/>
                <w:color w:val="333399"/>
              </w:rPr>
              <w:t>Marchés</w:t>
            </w:r>
            <w:r w:rsidRPr="00326977">
              <w:rPr>
                <w:rFonts w:asciiTheme="majorBidi" w:hAnsiTheme="majorBidi" w:cstheme="majorBidi"/>
                <w:bCs/>
                <w:color w:val="333399"/>
              </w:rPr>
              <w:t>)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808" w:type="dxa"/>
            <w:gridSpan w:val="2"/>
            <w:shd w:val="clear" w:color="auto" w:fill="E6E6E6"/>
          </w:tcPr>
          <w:p w:rsidR="00C93193" w:rsidRPr="00E03EF1" w:rsidRDefault="00C93193" w:rsidP="00C93193">
            <w:pPr>
              <w:spacing w:line="15" w:lineRule="atLeast"/>
              <w:rPr>
                <w:b/>
                <w:bCs/>
                <w:color w:val="333399"/>
              </w:rPr>
            </w:pPr>
            <w:r>
              <w:rPr>
                <w:b/>
                <w:bCs/>
                <w:color w:val="333399"/>
              </w:rPr>
              <w:t>Mars 2013 à Novembre 2016</w:t>
            </w:r>
          </w:p>
        </w:tc>
        <w:tc>
          <w:tcPr>
            <w:tcW w:w="8620" w:type="dxa"/>
            <w:gridSpan w:val="5"/>
            <w:shd w:val="clear" w:color="auto" w:fill="E6E6E6"/>
            <w:vAlign w:val="center"/>
          </w:tcPr>
          <w:p w:rsidR="00C93193" w:rsidRPr="00BA5017" w:rsidRDefault="00C93193" w:rsidP="00C93193">
            <w:pPr>
              <w:spacing w:line="15" w:lineRule="atLeast"/>
              <w:rPr>
                <w:rFonts w:asciiTheme="majorBidi" w:hAnsiTheme="majorBidi" w:cstheme="majorBidi"/>
                <w:b/>
                <w:color w:val="333399"/>
              </w:rPr>
            </w:pPr>
            <w:r>
              <w:rPr>
                <w:b/>
                <w:bCs/>
                <w:color w:val="333399"/>
              </w:rPr>
              <w:t xml:space="preserve">Administrateur - </w:t>
            </w:r>
            <w:r w:rsidRPr="00BA5017">
              <w:rPr>
                <w:rFonts w:asciiTheme="majorBidi" w:hAnsiTheme="majorBidi" w:cstheme="majorBidi"/>
                <w:b/>
                <w:color w:val="333399"/>
              </w:rPr>
              <w:t>Wilaya d’Oran (Siège)</w:t>
            </w:r>
          </w:p>
          <w:p w:rsidR="00C93193" w:rsidRPr="00E03EF1" w:rsidRDefault="00C93193" w:rsidP="00C93193">
            <w:pPr>
              <w:rPr>
                <w:b/>
                <w:bCs/>
                <w:color w:val="333399"/>
              </w:rPr>
            </w:pPr>
            <w:r w:rsidRPr="00326977">
              <w:rPr>
                <w:rFonts w:asciiTheme="majorBidi" w:hAnsiTheme="majorBidi" w:cstheme="majorBidi"/>
                <w:bCs/>
                <w:color w:val="333399"/>
              </w:rPr>
              <w:t xml:space="preserve">Service du Budget et du Patrimoine (Bureau des </w:t>
            </w:r>
            <w:r>
              <w:rPr>
                <w:rFonts w:asciiTheme="majorBidi" w:hAnsiTheme="majorBidi" w:cstheme="majorBidi"/>
                <w:bCs/>
                <w:color w:val="333399"/>
              </w:rPr>
              <w:t xml:space="preserve">Salaires et </w:t>
            </w:r>
            <w:r w:rsidR="00B40402">
              <w:rPr>
                <w:rFonts w:asciiTheme="majorBidi" w:hAnsiTheme="majorBidi" w:cstheme="majorBidi"/>
                <w:bCs/>
                <w:color w:val="333399"/>
              </w:rPr>
              <w:t xml:space="preserve">des </w:t>
            </w:r>
            <w:r w:rsidRPr="00326977">
              <w:rPr>
                <w:rFonts w:asciiTheme="majorBidi" w:hAnsiTheme="majorBidi" w:cstheme="majorBidi"/>
                <w:bCs/>
                <w:color w:val="333399"/>
              </w:rPr>
              <w:t>Rémunérations)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356"/>
          <w:tblCellSpacing w:w="37" w:type="dxa"/>
        </w:trPr>
        <w:tc>
          <w:tcPr>
            <w:tcW w:w="10472" w:type="dxa"/>
            <w:gridSpan w:val="7"/>
            <w:tcBorders>
              <w:top w:val="single" w:sz="18" w:space="0" w:color="FF0000"/>
              <w:bottom w:val="single" w:sz="18" w:space="0" w:color="FF0000"/>
            </w:tcBorders>
            <w:shd w:val="clear" w:color="auto" w:fill="FFFFFF" w:themeFill="background1"/>
          </w:tcPr>
          <w:p w:rsidR="00C93193" w:rsidRPr="00BA5017" w:rsidRDefault="00C93193" w:rsidP="004343D4">
            <w:pPr>
              <w:pStyle w:val="NormalWeb"/>
              <w:tabs>
                <w:tab w:val="left" w:pos="1335"/>
              </w:tabs>
              <w:spacing w:before="0" w:beforeAutospacing="0" w:after="0" w:afterAutospacing="0" w:line="15" w:lineRule="atLeast"/>
              <w:rPr>
                <w:rFonts w:asciiTheme="majorBidi" w:hAnsiTheme="majorBidi" w:cstheme="majorBidi"/>
                <w:b/>
                <w:color w:val="333399"/>
              </w:rPr>
            </w:pPr>
            <w:r>
              <w:rPr>
                <w:rFonts w:asciiTheme="majorBidi" w:hAnsiTheme="majorBidi" w:cstheme="majorBidi"/>
                <w:b/>
                <w:color w:val="333399"/>
              </w:rPr>
              <w:t>PUBLICATIONS ET COMMUNICATIONS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246"/>
          <w:tblCellSpacing w:w="37" w:type="dxa"/>
        </w:trPr>
        <w:tc>
          <w:tcPr>
            <w:tcW w:w="10472" w:type="dxa"/>
            <w:gridSpan w:val="7"/>
            <w:shd w:val="clear" w:color="auto" w:fill="E6E6E6"/>
          </w:tcPr>
          <w:p w:rsidR="00C93193" w:rsidRDefault="00C93193" w:rsidP="00C93193">
            <w:pPr>
              <w:pStyle w:val="NormalWeb"/>
              <w:tabs>
                <w:tab w:val="left" w:pos="1335"/>
              </w:tabs>
              <w:spacing w:before="0" w:beforeAutospacing="0" w:after="60" w:afterAutospacing="0" w:line="276" w:lineRule="auto"/>
              <w:jc w:val="both"/>
              <w:rPr>
                <w:bCs/>
                <w:color w:val="333399"/>
              </w:rPr>
            </w:pPr>
            <w:r w:rsidRPr="00B11A87">
              <w:rPr>
                <w:bCs/>
                <w:color w:val="333399"/>
              </w:rPr>
              <w:t>-</w:t>
            </w:r>
            <w:r>
              <w:rPr>
                <w:bCs/>
                <w:color w:val="333399"/>
              </w:rPr>
              <w:t xml:space="preserve"> Ismail AMANI &amp; </w:t>
            </w:r>
            <w:proofErr w:type="spellStart"/>
            <w:r>
              <w:rPr>
                <w:bCs/>
                <w:color w:val="333399"/>
              </w:rPr>
              <w:t>Belkheir</w:t>
            </w:r>
            <w:proofErr w:type="spellEnd"/>
            <w:r>
              <w:rPr>
                <w:bCs/>
                <w:color w:val="333399"/>
              </w:rPr>
              <w:t xml:space="preserve"> MAAMAR (2016), Cyclicité de la politique budgétaire et ressources naturelles ; cas de l’économie algérienne (1970 – 2014), Colloque international « le pari des PVD sur les énergies renouvelables et  fluctuations des prix du pétrole » Université AIB Mostaganem, 04-05 / 12 / 2016.</w:t>
            </w:r>
          </w:p>
          <w:p w:rsidR="00C93193" w:rsidRDefault="00C93193" w:rsidP="004343D4">
            <w:pPr>
              <w:pStyle w:val="NormalWeb"/>
              <w:tabs>
                <w:tab w:val="left" w:pos="1335"/>
              </w:tabs>
              <w:spacing w:before="0" w:beforeAutospacing="0" w:after="0" w:afterAutospacing="0" w:line="276" w:lineRule="auto"/>
              <w:jc w:val="both"/>
              <w:rPr>
                <w:bCs/>
                <w:color w:val="333399"/>
              </w:rPr>
            </w:pPr>
            <w:r>
              <w:rPr>
                <w:bCs/>
                <w:color w:val="333399"/>
              </w:rPr>
              <w:t xml:space="preserve">- </w:t>
            </w:r>
            <w:proofErr w:type="spellStart"/>
            <w:r>
              <w:rPr>
                <w:bCs/>
                <w:color w:val="333399"/>
              </w:rPr>
              <w:t>Belkheir</w:t>
            </w:r>
            <w:proofErr w:type="spellEnd"/>
            <w:r>
              <w:rPr>
                <w:bCs/>
                <w:color w:val="333399"/>
              </w:rPr>
              <w:t xml:space="preserve"> MAAMAR &amp; Ismail AMANI (2015), </w:t>
            </w:r>
            <w:r w:rsidRPr="00861D0E">
              <w:rPr>
                <w:bCs/>
                <w:color w:val="333399"/>
              </w:rPr>
              <w:t>Impact des Chocs Monétaires sur l’Inflation et la Croissance; Cas de l'économie algérienne, Revue Stratégie et Développe</w:t>
            </w:r>
            <w:r>
              <w:rPr>
                <w:bCs/>
                <w:color w:val="333399"/>
              </w:rPr>
              <w:t>ment, N°09, Juillet 2015, 34-57.</w:t>
            </w:r>
          </w:p>
          <w:p w:rsidR="00C93193" w:rsidRPr="00B11A87" w:rsidRDefault="00C93193" w:rsidP="00EE5C09">
            <w:pPr>
              <w:pStyle w:val="NormalWeb"/>
              <w:tabs>
                <w:tab w:val="left" w:pos="1335"/>
              </w:tabs>
              <w:spacing w:before="0" w:beforeAutospacing="0" w:after="0" w:afterAutospacing="0" w:line="276" w:lineRule="auto"/>
              <w:jc w:val="both"/>
              <w:rPr>
                <w:bCs/>
                <w:color w:val="333399"/>
              </w:rPr>
            </w:pPr>
            <w:r>
              <w:rPr>
                <w:bCs/>
                <w:color w:val="333399"/>
              </w:rPr>
              <w:t xml:space="preserve">- Ismail AMANI &amp; </w:t>
            </w:r>
            <w:proofErr w:type="spellStart"/>
            <w:r>
              <w:rPr>
                <w:bCs/>
                <w:color w:val="333399"/>
              </w:rPr>
              <w:t>Belkheir</w:t>
            </w:r>
            <w:proofErr w:type="spellEnd"/>
            <w:r>
              <w:rPr>
                <w:bCs/>
                <w:color w:val="333399"/>
              </w:rPr>
              <w:t xml:space="preserve"> MAAMAR (2015), </w:t>
            </w:r>
            <w:r w:rsidRPr="00861D0E">
              <w:rPr>
                <w:bCs/>
                <w:color w:val="333399"/>
              </w:rPr>
              <w:t xml:space="preserve">Réalisation des objectifs, conduite et efficacité de la politique monétaire en Algérie, 10ème Colloque International "Efficacité de la politique monétaire dans les </w:t>
            </w:r>
            <w:proofErr w:type="spellStart"/>
            <w:r w:rsidRPr="00861D0E">
              <w:rPr>
                <w:bCs/>
                <w:color w:val="333399"/>
              </w:rPr>
              <w:t>PVDs</w:t>
            </w:r>
            <w:proofErr w:type="spellEnd"/>
            <w:r w:rsidRPr="00861D0E">
              <w:rPr>
                <w:bCs/>
                <w:color w:val="333399"/>
              </w:rPr>
              <w:t xml:space="preserve"> ", Université </w:t>
            </w:r>
            <w:r w:rsidR="00EE5C09">
              <w:rPr>
                <w:bCs/>
                <w:color w:val="333399"/>
              </w:rPr>
              <w:t>HBB</w:t>
            </w:r>
            <w:r w:rsidRPr="00861D0E">
              <w:rPr>
                <w:bCs/>
                <w:color w:val="333399"/>
              </w:rPr>
              <w:t xml:space="preserve"> </w:t>
            </w:r>
            <w:proofErr w:type="spellStart"/>
            <w:r w:rsidRPr="00861D0E">
              <w:rPr>
                <w:bCs/>
                <w:color w:val="333399"/>
              </w:rPr>
              <w:t>Chlef</w:t>
            </w:r>
            <w:proofErr w:type="spellEnd"/>
            <w:r w:rsidRPr="00861D0E">
              <w:rPr>
                <w:bCs/>
                <w:color w:val="333399"/>
              </w:rPr>
              <w:t xml:space="preserve">, 15-16 </w:t>
            </w:r>
            <w:r w:rsidR="00EE5C09">
              <w:rPr>
                <w:bCs/>
                <w:color w:val="333399"/>
              </w:rPr>
              <w:t>/ 11 /</w:t>
            </w:r>
            <w:r w:rsidRPr="00861D0E">
              <w:rPr>
                <w:bCs/>
                <w:color w:val="333399"/>
              </w:rPr>
              <w:t xml:space="preserve"> 2015.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0472" w:type="dxa"/>
            <w:gridSpan w:val="7"/>
            <w:shd w:val="clear" w:color="auto" w:fill="FF0000"/>
          </w:tcPr>
          <w:p w:rsidR="00C93193" w:rsidRPr="00C90198" w:rsidRDefault="00C93193" w:rsidP="00C93193">
            <w:pPr>
              <w:rPr>
                <w:color w:val="333399"/>
                <w:sz w:val="2"/>
              </w:rPr>
            </w:pPr>
          </w:p>
        </w:tc>
      </w:tr>
      <w:tr w:rsidR="00C93193" w:rsidRPr="00C90198" w:rsidTr="00C93193">
        <w:tblPrEx>
          <w:tblCellSpacing w:w="37" w:type="dxa"/>
        </w:tblPrEx>
        <w:trPr>
          <w:trHeight w:val="178"/>
          <w:tblCellSpacing w:w="37" w:type="dxa"/>
        </w:trPr>
        <w:tc>
          <w:tcPr>
            <w:tcW w:w="10472" w:type="dxa"/>
            <w:gridSpan w:val="7"/>
            <w:shd w:val="clear" w:color="auto" w:fill="FFFFFF" w:themeFill="background1"/>
          </w:tcPr>
          <w:p w:rsidR="00C93193" w:rsidRPr="00BA5017" w:rsidRDefault="00C93193" w:rsidP="004343D4">
            <w:pPr>
              <w:pStyle w:val="NormalWeb"/>
              <w:spacing w:before="0" w:beforeAutospacing="0" w:after="0" w:afterAutospacing="0" w:line="15" w:lineRule="atLeast"/>
              <w:rPr>
                <w:rFonts w:asciiTheme="majorBidi" w:hAnsiTheme="majorBidi" w:cstheme="majorBidi"/>
                <w:color w:val="333399"/>
              </w:rPr>
            </w:pPr>
            <w:r w:rsidRPr="00C90198">
              <w:rPr>
                <w:rFonts w:ascii="Verdana" w:hAnsi="Verdana"/>
                <w:b/>
                <w:bCs/>
                <w:color w:val="333399"/>
                <w:sz w:val="20"/>
                <w:szCs w:val="20"/>
              </w:rPr>
              <w:t> </w:t>
            </w:r>
            <w:r w:rsidRPr="00BA5017">
              <w:rPr>
                <w:rFonts w:asciiTheme="majorBidi" w:hAnsiTheme="majorBidi" w:cstheme="majorBidi"/>
                <w:b/>
                <w:bCs/>
                <w:color w:val="333399"/>
              </w:rPr>
              <w:t>LANGUES</w:t>
            </w: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0472" w:type="dxa"/>
            <w:gridSpan w:val="7"/>
            <w:shd w:val="clear" w:color="auto" w:fill="FF0000"/>
          </w:tcPr>
          <w:p w:rsidR="00C93193" w:rsidRPr="00C90198" w:rsidRDefault="00C93193" w:rsidP="00C93193">
            <w:pPr>
              <w:rPr>
                <w:color w:val="333399"/>
                <w:sz w:val="2"/>
              </w:rPr>
            </w:pPr>
          </w:p>
        </w:tc>
      </w:tr>
      <w:tr w:rsidR="004343D4" w:rsidRPr="00C90198" w:rsidTr="004343D4">
        <w:tblPrEx>
          <w:tblCellSpacing w:w="37" w:type="dxa"/>
        </w:tblPrEx>
        <w:trPr>
          <w:trHeight w:val="384"/>
          <w:tblCellSpacing w:w="37" w:type="dxa"/>
        </w:trPr>
        <w:tc>
          <w:tcPr>
            <w:tcW w:w="5214" w:type="dxa"/>
            <w:gridSpan w:val="4"/>
            <w:shd w:val="clear" w:color="auto" w:fill="E6E6E6"/>
          </w:tcPr>
          <w:p w:rsidR="004343D4" w:rsidRPr="00BA5017" w:rsidRDefault="004343D4" w:rsidP="004343D4">
            <w:pPr>
              <w:pStyle w:val="NormalWeb"/>
              <w:tabs>
                <w:tab w:val="left" w:pos="1335"/>
              </w:tabs>
              <w:spacing w:before="0" w:beforeAutospacing="0" w:after="0" w:afterAutospacing="0" w:line="15" w:lineRule="atLeast"/>
              <w:rPr>
                <w:rFonts w:asciiTheme="majorBidi" w:hAnsiTheme="majorBidi" w:cstheme="majorBidi"/>
                <w:b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color w:val="333399"/>
              </w:rPr>
              <w:t>Arabe</w:t>
            </w:r>
            <w:r w:rsidR="004379E3">
              <w:rPr>
                <w:rFonts w:asciiTheme="majorBidi" w:hAnsiTheme="majorBidi" w:cstheme="majorBidi"/>
                <w:b/>
                <w:color w:val="333399"/>
              </w:rPr>
              <w:t> :</w:t>
            </w:r>
            <w:r w:rsidRPr="00BA5017">
              <w:rPr>
                <w:rFonts w:asciiTheme="majorBidi" w:hAnsiTheme="majorBidi" w:cstheme="majorBidi"/>
                <w:b/>
                <w:color w:val="333399"/>
              </w:rPr>
              <w:t xml:space="preserve">        </w:t>
            </w:r>
            <w:r>
              <w:rPr>
                <w:rFonts w:asciiTheme="majorBidi" w:hAnsiTheme="majorBidi" w:cstheme="majorBidi"/>
                <w:b/>
                <w:color w:val="333399"/>
              </w:rPr>
              <w:t>Très bonne maitrise</w:t>
            </w:r>
          </w:p>
          <w:p w:rsidR="004343D4" w:rsidRPr="00BA5017" w:rsidRDefault="004343D4" w:rsidP="004343D4">
            <w:pPr>
              <w:pStyle w:val="NormalWeb"/>
              <w:tabs>
                <w:tab w:val="left" w:pos="1335"/>
              </w:tabs>
              <w:spacing w:before="0" w:beforeAutospacing="0" w:after="0" w:afterAutospacing="0" w:line="15" w:lineRule="atLeast"/>
              <w:rPr>
                <w:rFonts w:asciiTheme="majorBidi" w:hAnsiTheme="majorBidi" w:cstheme="majorBidi"/>
                <w:b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color w:val="333399"/>
              </w:rPr>
              <w:t>Français</w:t>
            </w:r>
            <w:r w:rsidR="004379E3">
              <w:rPr>
                <w:rFonts w:asciiTheme="majorBidi" w:hAnsiTheme="majorBidi" w:cstheme="majorBidi"/>
                <w:b/>
                <w:color w:val="333399"/>
              </w:rPr>
              <w:t> :</w:t>
            </w:r>
            <w:r w:rsidRPr="00BA5017">
              <w:rPr>
                <w:rFonts w:asciiTheme="majorBidi" w:hAnsiTheme="majorBidi" w:cstheme="majorBidi"/>
                <w:color w:val="333399"/>
              </w:rPr>
              <w:t xml:space="preserve">    </w:t>
            </w:r>
            <w:r>
              <w:rPr>
                <w:rFonts w:asciiTheme="majorBidi" w:hAnsiTheme="majorBidi" w:cstheme="majorBidi"/>
                <w:b/>
                <w:color w:val="333399"/>
              </w:rPr>
              <w:t>Très bonne maitrise</w:t>
            </w:r>
          </w:p>
        </w:tc>
        <w:tc>
          <w:tcPr>
            <w:tcW w:w="5214" w:type="dxa"/>
            <w:gridSpan w:val="3"/>
            <w:shd w:val="clear" w:color="auto" w:fill="E6E6E6"/>
          </w:tcPr>
          <w:p w:rsidR="004343D4" w:rsidRPr="00BA5017" w:rsidRDefault="004343D4" w:rsidP="004343D4">
            <w:pPr>
              <w:pStyle w:val="NormalWeb"/>
              <w:tabs>
                <w:tab w:val="left" w:pos="1335"/>
              </w:tabs>
              <w:spacing w:before="0" w:beforeAutospacing="0" w:after="0" w:afterAutospacing="0" w:line="15" w:lineRule="atLeast"/>
              <w:rPr>
                <w:rFonts w:asciiTheme="majorBidi" w:hAnsiTheme="majorBidi" w:cstheme="majorBidi"/>
                <w:b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color w:val="333399"/>
              </w:rPr>
              <w:t>Anglais</w:t>
            </w:r>
            <w:r w:rsidR="004379E3">
              <w:rPr>
                <w:rFonts w:asciiTheme="majorBidi" w:hAnsiTheme="majorBidi" w:cstheme="majorBidi"/>
                <w:b/>
                <w:color w:val="333399"/>
              </w:rPr>
              <w:t> :</w:t>
            </w:r>
            <w:r w:rsidRPr="00BA5017">
              <w:rPr>
                <w:rFonts w:asciiTheme="majorBidi" w:hAnsiTheme="majorBidi" w:cstheme="majorBidi"/>
                <w:b/>
                <w:color w:val="333399"/>
              </w:rPr>
              <w:t xml:space="preserve">      </w:t>
            </w:r>
            <w:r>
              <w:rPr>
                <w:rFonts w:asciiTheme="majorBidi" w:hAnsiTheme="majorBidi" w:cstheme="majorBidi"/>
                <w:b/>
                <w:color w:val="333399"/>
              </w:rPr>
              <w:t>Bonne maitrise</w:t>
            </w:r>
          </w:p>
          <w:p w:rsidR="004343D4" w:rsidRPr="002B5DB0" w:rsidRDefault="004343D4" w:rsidP="00C93193">
            <w:pPr>
              <w:pStyle w:val="NormalWeb"/>
              <w:tabs>
                <w:tab w:val="left" w:pos="1335"/>
              </w:tabs>
              <w:spacing w:before="0" w:beforeAutospacing="0" w:after="0" w:afterAutospacing="0" w:line="15" w:lineRule="atLeast"/>
              <w:rPr>
                <w:rFonts w:asciiTheme="majorBidi" w:hAnsiTheme="majorBidi" w:cstheme="majorBidi"/>
                <w:b/>
                <w:color w:val="333399"/>
              </w:rPr>
            </w:pPr>
            <w:r w:rsidRPr="00BA5017">
              <w:rPr>
                <w:rFonts w:asciiTheme="majorBidi" w:hAnsiTheme="majorBidi" w:cstheme="majorBidi"/>
                <w:b/>
                <w:color w:val="333399"/>
              </w:rPr>
              <w:t>Espagnol</w:t>
            </w:r>
            <w:r w:rsidR="004379E3">
              <w:rPr>
                <w:rFonts w:asciiTheme="majorBidi" w:hAnsiTheme="majorBidi" w:cstheme="majorBidi"/>
                <w:b/>
                <w:color w:val="333399"/>
              </w:rPr>
              <w:t> :</w:t>
            </w:r>
            <w:r w:rsidRPr="00BA5017">
              <w:rPr>
                <w:rFonts w:asciiTheme="majorBidi" w:hAnsiTheme="majorBidi" w:cstheme="majorBidi"/>
                <w:b/>
                <w:color w:val="333399"/>
              </w:rPr>
              <w:t xml:space="preserve">   Notions</w:t>
            </w:r>
          </w:p>
        </w:tc>
      </w:tr>
      <w:tr w:rsidR="00C93193" w:rsidRPr="00C90198" w:rsidTr="004343D4">
        <w:tblPrEx>
          <w:tblCellSpacing w:w="37" w:type="dxa"/>
        </w:tblPrEx>
        <w:trPr>
          <w:trHeight w:val="43"/>
          <w:tblCellSpacing w:w="37" w:type="dxa"/>
        </w:trPr>
        <w:tc>
          <w:tcPr>
            <w:tcW w:w="10472" w:type="dxa"/>
            <w:gridSpan w:val="7"/>
            <w:shd w:val="clear" w:color="auto" w:fill="FF0000"/>
          </w:tcPr>
          <w:p w:rsidR="00C93193" w:rsidRPr="00C90198" w:rsidRDefault="00C93193" w:rsidP="00C93193">
            <w:pPr>
              <w:rPr>
                <w:color w:val="333399"/>
                <w:sz w:val="2"/>
              </w:rPr>
            </w:pPr>
          </w:p>
        </w:tc>
      </w:tr>
      <w:tr w:rsidR="00C93193" w:rsidRPr="00C90198" w:rsidTr="00C93193">
        <w:tblPrEx>
          <w:tblCellSpacing w:w="37" w:type="dxa"/>
        </w:tblPrEx>
        <w:trPr>
          <w:trHeight w:val="15"/>
          <w:tblCellSpacing w:w="37" w:type="dxa"/>
        </w:trPr>
        <w:tc>
          <w:tcPr>
            <w:tcW w:w="10472" w:type="dxa"/>
            <w:gridSpan w:val="7"/>
            <w:shd w:val="clear" w:color="auto" w:fill="FF0000"/>
          </w:tcPr>
          <w:p w:rsidR="00C93193" w:rsidRPr="00C90198" w:rsidRDefault="00C93193" w:rsidP="00C93193">
            <w:pPr>
              <w:rPr>
                <w:color w:val="333399"/>
                <w:sz w:val="2"/>
              </w:rPr>
            </w:pPr>
          </w:p>
        </w:tc>
      </w:tr>
    </w:tbl>
    <w:p w:rsidR="00013B3E" w:rsidRPr="00C90198" w:rsidRDefault="00013B3E" w:rsidP="004343D4">
      <w:pPr>
        <w:rPr>
          <w:color w:val="333399"/>
        </w:rPr>
      </w:pPr>
    </w:p>
    <w:sectPr w:rsidR="00013B3E" w:rsidRPr="00C90198" w:rsidSect="00B11A87">
      <w:headerReference w:type="default" r:id="rId11"/>
      <w:pgSz w:w="11906" w:h="16838"/>
      <w:pgMar w:top="284" w:right="851" w:bottom="284" w:left="85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18" w:rsidRDefault="00331F18">
      <w:r>
        <w:separator/>
      </w:r>
    </w:p>
  </w:endnote>
  <w:endnote w:type="continuationSeparator" w:id="0">
    <w:p w:rsidR="00331F18" w:rsidRDefault="0033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18" w:rsidRDefault="00331F18">
      <w:r>
        <w:separator/>
      </w:r>
    </w:p>
  </w:footnote>
  <w:footnote w:type="continuationSeparator" w:id="0">
    <w:p w:rsidR="00331F18" w:rsidRDefault="00331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3E" w:rsidRDefault="001E3F1C">
    <w:pPr>
      <w:pStyle w:val="En-tt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4D786E" wp14:editId="1211DC92">
              <wp:simplePos x="0" y="0"/>
              <wp:positionH relativeFrom="column">
                <wp:posOffset>-374015</wp:posOffset>
              </wp:positionH>
              <wp:positionV relativeFrom="paragraph">
                <wp:posOffset>3884295</wp:posOffset>
              </wp:positionV>
              <wp:extent cx="45085" cy="47625"/>
              <wp:effectExtent l="0" t="0" r="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7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3E" w:rsidRDefault="00013B3E">
                          <w:pPr>
                            <w:rPr>
                              <w:color w:val="FFFFFF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Semantis</w:t>
                          </w:r>
                          <w:proofErr w:type="spellEnd"/>
                          <w:r>
                            <w:rPr>
                              <w:color w:val="FFFFFF"/>
                              <w:sz w:val="16"/>
                            </w:rPr>
                            <w:t xml:space="preserve"> – Solution de gestion de candidatures – www.semantis.fr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9.45pt;margin-top:305.85pt;width:3.55pt;height: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4YqgIAAKkFAAAOAAAAZHJzL2Uyb0RvYy54bWysVNuOmzAQfa/Uf7D8znIpSQAtWSUhVJW2&#10;F2m3H+CACVbBprYTWFX9945NyCa7qlS15cEa2+Mzc2YOc3s3tA06UqmY4Cn2bzyMKC9Eyfg+xV8f&#10;cyfCSGnCS9IITlP8RBW+W759c9t3CQ1ELZqSSgQgXCV9l+Ja6y5xXVXUtCXqRnSUw2UlZEs0bOXe&#10;LSXpAb1t3MDz5m4vZNlJUVCl4DQbL/HS4lcVLfTnqlJUoybFkJu2q7Trzqzu8pYke0m6mhWnNMhf&#10;ZNESxiHoGSojmqCDZK+gWlZIoUSlbwrRuqKqWEEtB2Djey/YPNSko5YLFEd15zKp/wdbfDp+kYiV&#10;KQ4w4qSFFj3SQaO1GJBvqtN3KgGnhw7c9ADH0GXLVHX3ovimEBebmvA9XUkp+pqSErKzL92LpyOO&#10;MiC7/qMoIQw5aGGBhkq2pnRQDATo0KWnc2dMKgUchjMvmmFUwE24mAczk5lLkulpJ5V+T0WLjJFi&#10;CW230OR4r/ToOrmYSFzkrGls6xt+dQCY4wkEhqfmzqRgO/kj9uJttI1CJwzmWyf0ssxZ5ZvQmef+&#10;Ypa9yzabzP9p4vphUrOypNyEmVTlh3/WtZO+Rz2cdaVEw0oDZ1JScr/bNBIdCag6t9+pIBdu7nUa&#10;tl7A5QUlPwi9dRA7+TxaOGEezpx44UWO58freO6FcZjl15TuGaf/Tgn1KY5n0EdL57fcPPu95kaS&#10;lmmYGw1rUxydnUhi9LflpW2tJqwZ7YtSmPSfSwHtnhpt1WoEOkpVD7sBUIyEd6J8At1KAcoCccKw&#10;A8OswQK2PcyOFKvvByIpRs0HDvI3g2Yy5GTsJoPwohYwgjRGo7nR40A6dJLtawAffzAuVvCLVMwK&#10;+DkRyN5sYB5YHqfZZQbO5d56PU/Y5S8AAAD//wMAUEsDBBQABgAIAAAAIQCnIheg3wAAAAsBAAAP&#10;AAAAZHJzL2Rvd25yZXYueG1sTI9BbsIwEEX3lXoHayp1F5yAkkIaB1WRUHdIBQ5gYjeOsMdpbEi4&#10;fYdVu5yZpz/vV9vZWXbTY+g9CsgWKTCNrVc9dgJOx12yBhaiRCWtRy3grgNs6+enSpbKT/ilb4fY&#10;MQrBUEoBJsah5Dy0RjsZFn7QSLdvPzoZaRw7rkY5UbizfJmmBXeyR/pg5KAbo9vL4eoE7O/cTCuX&#10;n9qmKfbF6mcnL59WiNeX+eMdWNRz/IPhoU/qUJPT2V9RBWYFJPl6Q6iAIsvegBGR5BmVOT82myXw&#10;uuL/O9S/AAAA//8DAFBLAQItABQABgAIAAAAIQC2gziS/gAAAOEBAAATAAAAAAAAAAAAAAAAAAAA&#10;AABbQ29udGVudF9UeXBlc10ueG1sUEsBAi0AFAAGAAgAAAAhADj9If/WAAAAlAEAAAsAAAAAAAAA&#10;AAAAAAAALwEAAF9yZWxzLy5yZWxzUEsBAi0AFAAGAAgAAAAhAHwVzhiqAgAAqQUAAA4AAAAAAAAA&#10;AAAAAAAALgIAAGRycy9lMm9Eb2MueG1sUEsBAi0AFAAGAAgAAAAhAKciF6DfAAAACwEAAA8AAAAA&#10;AAAAAAAAAAAABAUAAGRycy9kb3ducmV2LnhtbFBLBQYAAAAABAAEAPMAAAAQBgAAAAA=&#10;" filled="f" stroked="f">
              <v:textbox style="layout-flow:vertical;mso-layout-flow-alt:bottom-to-top" inset="0,0,0,0">
                <w:txbxContent>
                  <w:p w:rsidR="00013B3E" w:rsidRDefault="00013B3E">
                    <w:pPr>
                      <w:rPr>
                        <w:color w:val="FFFFFF"/>
                        <w:sz w:val="16"/>
                      </w:rPr>
                    </w:pPr>
                    <w:proofErr w:type="spellStart"/>
                    <w:r>
                      <w:rPr>
                        <w:color w:val="FFFFFF"/>
                        <w:sz w:val="16"/>
                      </w:rPr>
                      <w:t>Semantis</w:t>
                    </w:r>
                    <w:proofErr w:type="spellEnd"/>
                    <w:r>
                      <w:rPr>
                        <w:color w:val="FFFFFF"/>
                        <w:sz w:val="16"/>
                      </w:rPr>
                      <w:t xml:space="preserve"> – Solution de gestion de candidatures – www.semantis.fr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233"/>
    <w:multiLevelType w:val="hybridMultilevel"/>
    <w:tmpl w:val="BE2895BA"/>
    <w:lvl w:ilvl="0" w:tplc="D1322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3A"/>
    <w:rsid w:val="00013B3E"/>
    <w:rsid w:val="000545CF"/>
    <w:rsid w:val="000567EF"/>
    <w:rsid w:val="00056DEB"/>
    <w:rsid w:val="00065D9B"/>
    <w:rsid w:val="00077B1C"/>
    <w:rsid w:val="000D3DE3"/>
    <w:rsid w:val="000E1325"/>
    <w:rsid w:val="000E609F"/>
    <w:rsid w:val="000F0CA8"/>
    <w:rsid w:val="001206D5"/>
    <w:rsid w:val="00123F5C"/>
    <w:rsid w:val="00131023"/>
    <w:rsid w:val="001473FC"/>
    <w:rsid w:val="00147FF6"/>
    <w:rsid w:val="00173A12"/>
    <w:rsid w:val="001C5983"/>
    <w:rsid w:val="001E3F1C"/>
    <w:rsid w:val="001F2CB7"/>
    <w:rsid w:val="001F339C"/>
    <w:rsid w:val="001F52AE"/>
    <w:rsid w:val="00210030"/>
    <w:rsid w:val="00211188"/>
    <w:rsid w:val="00214503"/>
    <w:rsid w:val="0023295D"/>
    <w:rsid w:val="002522FD"/>
    <w:rsid w:val="002603F5"/>
    <w:rsid w:val="00274766"/>
    <w:rsid w:val="002864F8"/>
    <w:rsid w:val="002B5DB0"/>
    <w:rsid w:val="002C3153"/>
    <w:rsid w:val="002C7CF1"/>
    <w:rsid w:val="002D23CC"/>
    <w:rsid w:val="002E291D"/>
    <w:rsid w:val="0031329F"/>
    <w:rsid w:val="0031522B"/>
    <w:rsid w:val="00323224"/>
    <w:rsid w:val="00326977"/>
    <w:rsid w:val="00331F18"/>
    <w:rsid w:val="003338A0"/>
    <w:rsid w:val="00333981"/>
    <w:rsid w:val="003639D5"/>
    <w:rsid w:val="0037320E"/>
    <w:rsid w:val="0037757D"/>
    <w:rsid w:val="00382F3A"/>
    <w:rsid w:val="0039004F"/>
    <w:rsid w:val="003B217E"/>
    <w:rsid w:val="003E49D9"/>
    <w:rsid w:val="003E5C90"/>
    <w:rsid w:val="003F224F"/>
    <w:rsid w:val="0041313A"/>
    <w:rsid w:val="00425E66"/>
    <w:rsid w:val="004343D4"/>
    <w:rsid w:val="004379E3"/>
    <w:rsid w:val="00456005"/>
    <w:rsid w:val="00457871"/>
    <w:rsid w:val="00482172"/>
    <w:rsid w:val="004B373A"/>
    <w:rsid w:val="004C15D6"/>
    <w:rsid w:val="004D66B6"/>
    <w:rsid w:val="004E0604"/>
    <w:rsid w:val="00572525"/>
    <w:rsid w:val="005805C0"/>
    <w:rsid w:val="0058436F"/>
    <w:rsid w:val="005A1316"/>
    <w:rsid w:val="005C0E52"/>
    <w:rsid w:val="005F6931"/>
    <w:rsid w:val="00604CCB"/>
    <w:rsid w:val="0064425E"/>
    <w:rsid w:val="00650696"/>
    <w:rsid w:val="00653CFC"/>
    <w:rsid w:val="00656652"/>
    <w:rsid w:val="00672EA1"/>
    <w:rsid w:val="006A1A91"/>
    <w:rsid w:val="006A3984"/>
    <w:rsid w:val="006D0B6A"/>
    <w:rsid w:val="006E12CA"/>
    <w:rsid w:val="006F0C14"/>
    <w:rsid w:val="006F2DC8"/>
    <w:rsid w:val="007012FA"/>
    <w:rsid w:val="007038FB"/>
    <w:rsid w:val="00704AF0"/>
    <w:rsid w:val="00711C55"/>
    <w:rsid w:val="00715F84"/>
    <w:rsid w:val="00725E8D"/>
    <w:rsid w:val="00734C11"/>
    <w:rsid w:val="00747189"/>
    <w:rsid w:val="0075436D"/>
    <w:rsid w:val="007555AE"/>
    <w:rsid w:val="00772AFF"/>
    <w:rsid w:val="007B163A"/>
    <w:rsid w:val="007C1C3B"/>
    <w:rsid w:val="007F3804"/>
    <w:rsid w:val="007F4335"/>
    <w:rsid w:val="007F7C7F"/>
    <w:rsid w:val="00813019"/>
    <w:rsid w:val="00813049"/>
    <w:rsid w:val="00830BCF"/>
    <w:rsid w:val="00852B10"/>
    <w:rsid w:val="00857D28"/>
    <w:rsid w:val="00861D0E"/>
    <w:rsid w:val="00864C8A"/>
    <w:rsid w:val="008668BB"/>
    <w:rsid w:val="008B0850"/>
    <w:rsid w:val="008C1538"/>
    <w:rsid w:val="008C5650"/>
    <w:rsid w:val="008F1FBC"/>
    <w:rsid w:val="00914090"/>
    <w:rsid w:val="009315A9"/>
    <w:rsid w:val="00942430"/>
    <w:rsid w:val="009A250D"/>
    <w:rsid w:val="009A3D08"/>
    <w:rsid w:val="009B7533"/>
    <w:rsid w:val="009B78EC"/>
    <w:rsid w:val="009D2A0D"/>
    <w:rsid w:val="009E1CA6"/>
    <w:rsid w:val="009E55EC"/>
    <w:rsid w:val="009F27AA"/>
    <w:rsid w:val="00A03348"/>
    <w:rsid w:val="00A307F1"/>
    <w:rsid w:val="00A32E2C"/>
    <w:rsid w:val="00A369B2"/>
    <w:rsid w:val="00A43F0B"/>
    <w:rsid w:val="00A4734C"/>
    <w:rsid w:val="00A861C6"/>
    <w:rsid w:val="00A91EF7"/>
    <w:rsid w:val="00A95587"/>
    <w:rsid w:val="00B10529"/>
    <w:rsid w:val="00B11A87"/>
    <w:rsid w:val="00B11BCA"/>
    <w:rsid w:val="00B40402"/>
    <w:rsid w:val="00B564D7"/>
    <w:rsid w:val="00B72033"/>
    <w:rsid w:val="00B76630"/>
    <w:rsid w:val="00B80545"/>
    <w:rsid w:val="00B96845"/>
    <w:rsid w:val="00B97BAD"/>
    <w:rsid w:val="00BA5017"/>
    <w:rsid w:val="00BB7EB9"/>
    <w:rsid w:val="00BC3A8E"/>
    <w:rsid w:val="00BD5DF6"/>
    <w:rsid w:val="00BF7595"/>
    <w:rsid w:val="00C11854"/>
    <w:rsid w:val="00C146E8"/>
    <w:rsid w:val="00C23745"/>
    <w:rsid w:val="00C42872"/>
    <w:rsid w:val="00C90198"/>
    <w:rsid w:val="00C93193"/>
    <w:rsid w:val="00CC07C3"/>
    <w:rsid w:val="00CC6AF7"/>
    <w:rsid w:val="00CD0A48"/>
    <w:rsid w:val="00CD13F9"/>
    <w:rsid w:val="00CF6227"/>
    <w:rsid w:val="00D25317"/>
    <w:rsid w:val="00D62AA9"/>
    <w:rsid w:val="00D63A70"/>
    <w:rsid w:val="00D724C1"/>
    <w:rsid w:val="00DA33B1"/>
    <w:rsid w:val="00DB0A5E"/>
    <w:rsid w:val="00DB55BE"/>
    <w:rsid w:val="00DF0B6A"/>
    <w:rsid w:val="00E03EF1"/>
    <w:rsid w:val="00E078F7"/>
    <w:rsid w:val="00E07FE7"/>
    <w:rsid w:val="00E218A2"/>
    <w:rsid w:val="00E4441D"/>
    <w:rsid w:val="00E55AE2"/>
    <w:rsid w:val="00E65B34"/>
    <w:rsid w:val="00E8195C"/>
    <w:rsid w:val="00E90E17"/>
    <w:rsid w:val="00EE5C09"/>
    <w:rsid w:val="00EF7ABC"/>
    <w:rsid w:val="00F40D8E"/>
    <w:rsid w:val="00F5662D"/>
    <w:rsid w:val="00F84024"/>
    <w:rsid w:val="00F9311F"/>
    <w:rsid w:val="00FA3746"/>
    <w:rsid w:val="00FD1786"/>
    <w:rsid w:val="00FE72EF"/>
    <w:rsid w:val="00FF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F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91EF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91EF7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4B373A"/>
    <w:pPr>
      <w:spacing w:before="100" w:beforeAutospacing="1" w:after="100" w:afterAutospacing="1"/>
    </w:pPr>
  </w:style>
  <w:style w:type="character" w:styleId="Lienhypertexte">
    <w:name w:val="Hyperlink"/>
    <w:basedOn w:val="Policepardfaut"/>
    <w:rsid w:val="00211188"/>
    <w:rPr>
      <w:color w:val="0000FF"/>
      <w:u w:val="single"/>
    </w:rPr>
  </w:style>
  <w:style w:type="paragraph" w:styleId="Textedebulles">
    <w:name w:val="Balloon Text"/>
    <w:basedOn w:val="Normal"/>
    <w:semiHidden/>
    <w:rsid w:val="002747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672EA1"/>
  </w:style>
  <w:style w:type="paragraph" w:styleId="Paragraphedeliste">
    <w:name w:val="List Paragraph"/>
    <w:basedOn w:val="Normal"/>
    <w:uiPriority w:val="34"/>
    <w:qFormat/>
    <w:rsid w:val="002D2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F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91EF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91EF7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4B373A"/>
    <w:pPr>
      <w:spacing w:before="100" w:beforeAutospacing="1" w:after="100" w:afterAutospacing="1"/>
    </w:pPr>
  </w:style>
  <w:style w:type="character" w:styleId="Lienhypertexte">
    <w:name w:val="Hyperlink"/>
    <w:basedOn w:val="Policepardfaut"/>
    <w:rsid w:val="00211188"/>
    <w:rPr>
      <w:color w:val="0000FF"/>
      <w:u w:val="single"/>
    </w:rPr>
  </w:style>
  <w:style w:type="paragraph" w:styleId="Textedebulles">
    <w:name w:val="Balloon Text"/>
    <w:basedOn w:val="Normal"/>
    <w:semiHidden/>
    <w:rsid w:val="002747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672EA1"/>
  </w:style>
  <w:style w:type="paragraph" w:styleId="Paragraphedeliste">
    <w:name w:val="List Paragraph"/>
    <w:basedOn w:val="Normal"/>
    <w:uiPriority w:val="34"/>
    <w:qFormat/>
    <w:rsid w:val="002D2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B324A-0736-49AA-9A68-4E3FBC8A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428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SEMANTIS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CVitae</dc:creator>
  <cp:lastModifiedBy>gis</cp:lastModifiedBy>
  <cp:revision>14</cp:revision>
  <cp:lastPrinted>2014-09-28T20:43:00Z</cp:lastPrinted>
  <dcterms:created xsi:type="dcterms:W3CDTF">2017-12-09T21:59:00Z</dcterms:created>
  <dcterms:modified xsi:type="dcterms:W3CDTF">2017-12-09T22:24:00Z</dcterms:modified>
</cp:coreProperties>
</file>